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58BF0">
      <w:pPr>
        <w:spacing w:before="120" w:after="120" w:line="360" w:lineRule="auto"/>
        <w:jc w:val="center"/>
        <w:rPr>
          <w:rFonts w:hint="eastAsia" w:ascii="仿宋" w:hAnsi="仿宋" w:eastAsia="仿宋" w:cs="仿宋"/>
          <w:b/>
          <w:bCs/>
          <w:color w:val="auto"/>
          <w:sz w:val="84"/>
          <w:szCs w:val="24"/>
          <w:highlight w:val="none"/>
        </w:rPr>
      </w:pPr>
    </w:p>
    <w:p w14:paraId="3626648F">
      <w:pPr>
        <w:spacing w:before="120" w:after="120" w:line="360" w:lineRule="auto"/>
        <w:jc w:val="center"/>
        <w:rPr>
          <w:rFonts w:hint="eastAsia" w:ascii="仿宋" w:hAnsi="仿宋" w:eastAsia="仿宋" w:cs="仿宋"/>
          <w:b/>
          <w:bCs/>
          <w:color w:val="auto"/>
          <w:sz w:val="84"/>
          <w:szCs w:val="24"/>
          <w:highlight w:val="none"/>
        </w:rPr>
      </w:pPr>
      <w:r>
        <w:rPr>
          <w:rFonts w:hint="eastAsia" w:ascii="Times New Roman" w:hAnsi="Times New Roman" w:eastAsia="黑体"/>
          <w:b/>
          <w:bCs/>
          <w:color w:val="auto"/>
          <w:sz w:val="84"/>
          <w:szCs w:val="24"/>
          <w:highlight w:val="none"/>
        </w:rPr>
        <w:t>竞争性磋商文件</w:t>
      </w:r>
    </w:p>
    <w:p w14:paraId="79EC8AC7">
      <w:pPr>
        <w:ind w:firstLine="1506"/>
        <w:rPr>
          <w:rFonts w:ascii="Times New Roman" w:hAnsi="Times New Roman" w:cs="宋体"/>
          <w:b/>
          <w:color w:val="auto"/>
          <w:sz w:val="30"/>
          <w:szCs w:val="30"/>
          <w:highlight w:val="none"/>
        </w:rPr>
      </w:pPr>
    </w:p>
    <w:p w14:paraId="0294E36A">
      <w:pPr>
        <w:ind w:firstLine="1506"/>
        <w:rPr>
          <w:rFonts w:ascii="Times New Roman" w:hAnsi="Times New Roman" w:cs="宋体"/>
          <w:b/>
          <w:color w:val="auto"/>
          <w:sz w:val="30"/>
          <w:szCs w:val="30"/>
          <w:highlight w:val="none"/>
        </w:rPr>
      </w:pPr>
    </w:p>
    <w:p w14:paraId="24E51B5F">
      <w:pPr>
        <w:ind w:firstLine="1506"/>
        <w:rPr>
          <w:rFonts w:ascii="Times New Roman" w:hAnsi="Times New Roman" w:cs="宋体"/>
          <w:b/>
          <w:color w:val="auto"/>
          <w:sz w:val="30"/>
          <w:szCs w:val="30"/>
          <w:highlight w:val="none"/>
        </w:rPr>
      </w:pPr>
    </w:p>
    <w:p w14:paraId="0457D865">
      <w:pPr>
        <w:ind w:firstLine="1506"/>
        <w:rPr>
          <w:rFonts w:hint="eastAsia" w:ascii="Times New Roman" w:hAnsi="Times New Roman" w:cs="宋体"/>
          <w:b/>
          <w:color w:val="auto"/>
          <w:sz w:val="30"/>
          <w:szCs w:val="30"/>
          <w:highlight w:val="none"/>
        </w:rPr>
      </w:pPr>
      <w:r>
        <w:rPr>
          <w:rFonts w:hint="eastAsia" w:ascii="Times New Roman" w:hAnsi="Times New Roman" w:cs="宋体"/>
          <w:b/>
          <w:color w:val="auto"/>
          <w:sz w:val="30"/>
          <w:szCs w:val="30"/>
          <w:highlight w:val="none"/>
        </w:rPr>
        <w:t>项目名称：</w:t>
      </w:r>
      <w:r>
        <w:rPr>
          <w:rFonts w:hint="eastAsia" w:ascii="Times New Roman" w:hAnsi="Times New Roman" w:cs="宋体"/>
          <w:b/>
          <w:color w:val="auto"/>
          <w:sz w:val="30"/>
          <w:szCs w:val="30"/>
          <w:highlight w:val="none"/>
          <w:lang w:eastAsia="zh-CN"/>
        </w:rPr>
        <w:t>沭阳县人民政府章集街道年度保洁外包服务项目</w:t>
      </w:r>
      <w:r>
        <w:rPr>
          <w:rFonts w:hint="eastAsia" w:ascii="Times New Roman" w:hAnsi="Times New Roman" w:cs="宋体"/>
          <w:b/>
          <w:color w:val="auto"/>
          <w:sz w:val="30"/>
          <w:szCs w:val="30"/>
          <w:highlight w:val="none"/>
        </w:rPr>
        <w:t xml:space="preserve"> </w:t>
      </w:r>
    </w:p>
    <w:p w14:paraId="39154CBF">
      <w:pPr>
        <w:ind w:firstLine="1506"/>
        <w:rPr>
          <w:rFonts w:ascii="Times New Roman" w:hAnsi="Times New Roman" w:cs="宋体"/>
          <w:b/>
          <w:color w:val="auto"/>
          <w:sz w:val="30"/>
          <w:szCs w:val="30"/>
          <w:highlight w:val="none"/>
        </w:rPr>
      </w:pPr>
    </w:p>
    <w:p w14:paraId="012DFBC1">
      <w:pPr>
        <w:ind w:firstLine="1506"/>
        <w:rPr>
          <w:rFonts w:hint="eastAsia" w:ascii="Times New Roman" w:hAnsi="Times New Roman" w:cs="宋体"/>
          <w:b/>
          <w:color w:val="auto"/>
          <w:sz w:val="30"/>
          <w:szCs w:val="30"/>
          <w:highlight w:val="none"/>
          <w:lang w:eastAsia="zh-CN"/>
        </w:rPr>
      </w:pPr>
      <w:r>
        <w:rPr>
          <w:rFonts w:hint="eastAsia" w:ascii="Times New Roman" w:hAnsi="Times New Roman" w:cs="宋体"/>
          <w:b/>
          <w:color w:val="auto"/>
          <w:sz w:val="30"/>
          <w:szCs w:val="30"/>
          <w:highlight w:val="none"/>
        </w:rPr>
        <w:t>项目编号：JSZC-321322-WCCA-C2025-0003</w:t>
      </w:r>
    </w:p>
    <w:p w14:paraId="5C1FCFB6">
      <w:pPr>
        <w:ind w:left="2800" w:hanging="2800"/>
        <w:rPr>
          <w:rFonts w:ascii="Times New Roman" w:hAnsi="Times New Roman"/>
          <w:color w:val="auto"/>
          <w:sz w:val="28"/>
          <w:szCs w:val="28"/>
          <w:highlight w:val="none"/>
        </w:rPr>
      </w:pPr>
    </w:p>
    <w:p w14:paraId="4B706697">
      <w:pPr>
        <w:ind w:left="2800" w:hanging="2800"/>
        <w:rPr>
          <w:b/>
          <w:color w:val="auto"/>
          <w:sz w:val="28"/>
          <w:szCs w:val="28"/>
          <w:highlight w:val="none"/>
        </w:rPr>
      </w:pP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 xml:space="preserve">   </w:t>
      </w:r>
      <w:r>
        <w:rPr>
          <w:rFonts w:ascii="Times New Roman" w:hAnsi="Times New Roman"/>
          <w:b/>
          <w:color w:val="auto"/>
          <w:sz w:val="28"/>
          <w:szCs w:val="28"/>
          <w:highlight w:val="none"/>
        </w:rPr>
        <w:t xml:space="preserve"> </w:t>
      </w:r>
    </w:p>
    <w:p w14:paraId="321C7C42">
      <w:pPr>
        <w:spacing w:line="360" w:lineRule="auto"/>
        <w:jc w:val="left"/>
        <w:rPr>
          <w:rFonts w:hint="eastAsia" w:ascii="宋体" w:hAnsi="宋体" w:cs="宋体"/>
          <w:color w:val="auto"/>
          <w:sz w:val="24"/>
          <w:szCs w:val="24"/>
          <w:highlight w:val="none"/>
        </w:rPr>
      </w:pPr>
    </w:p>
    <w:p w14:paraId="7AC0F56A">
      <w:pPr>
        <w:spacing w:line="360" w:lineRule="auto"/>
        <w:jc w:val="left"/>
        <w:rPr>
          <w:rFonts w:hint="eastAsia" w:ascii="宋体" w:hAnsi="宋体" w:cs="宋体"/>
          <w:color w:val="auto"/>
          <w:sz w:val="24"/>
          <w:szCs w:val="24"/>
          <w:highlight w:val="none"/>
        </w:rPr>
      </w:pPr>
    </w:p>
    <w:p w14:paraId="5793DEC4">
      <w:pPr>
        <w:spacing w:line="360" w:lineRule="auto"/>
        <w:jc w:val="left"/>
        <w:rPr>
          <w:rFonts w:hint="eastAsia" w:ascii="宋体" w:hAnsi="宋体" w:cs="宋体"/>
          <w:color w:val="auto"/>
          <w:sz w:val="24"/>
          <w:szCs w:val="24"/>
          <w:highlight w:val="none"/>
        </w:rPr>
      </w:pPr>
    </w:p>
    <w:tbl>
      <w:tblPr>
        <w:tblStyle w:val="41"/>
        <w:tblpPr w:leftFromText="180" w:rightFromText="180" w:vertAnchor="text" w:horzAnchor="page" w:tblpXSpec="center" w:tblpY="466"/>
        <w:tblW w:w="0" w:type="auto"/>
        <w:jc w:val="center"/>
        <w:tblLayout w:type="autofit"/>
        <w:tblCellMar>
          <w:top w:w="0" w:type="dxa"/>
          <w:left w:w="108" w:type="dxa"/>
          <w:bottom w:w="0" w:type="dxa"/>
          <w:right w:w="108" w:type="dxa"/>
        </w:tblCellMar>
      </w:tblPr>
      <w:tblGrid>
        <w:gridCol w:w="2923"/>
        <w:gridCol w:w="4677"/>
      </w:tblGrid>
      <w:tr w14:paraId="61929AA9">
        <w:tblPrEx>
          <w:tblCellMar>
            <w:top w:w="0" w:type="dxa"/>
            <w:left w:w="108" w:type="dxa"/>
            <w:bottom w:w="0" w:type="dxa"/>
            <w:right w:w="108" w:type="dxa"/>
          </w:tblCellMar>
        </w:tblPrEx>
        <w:trPr>
          <w:trHeight w:val="586" w:hRule="atLeast"/>
          <w:jc w:val="center"/>
        </w:trPr>
        <w:tc>
          <w:tcPr>
            <w:tcW w:w="2923" w:type="dxa"/>
            <w:vAlign w:val="center"/>
          </w:tcPr>
          <w:p w14:paraId="5ED5D766">
            <w:pPr>
              <w:spacing w:line="500" w:lineRule="exact"/>
              <w:jc w:val="left"/>
              <w:rPr>
                <w:rFonts w:hint="eastAsia" w:ascii="Times New Roman" w:hAnsi="Times New Roman"/>
                <w:b/>
                <w:bCs/>
                <w:color w:val="auto"/>
                <w:sz w:val="32"/>
                <w:szCs w:val="24"/>
                <w:highlight w:val="none"/>
              </w:rPr>
            </w:pPr>
            <w:r>
              <w:rPr>
                <w:rFonts w:hint="eastAsia" w:ascii="Times New Roman" w:hAnsi="Times New Roman"/>
                <w:b/>
                <w:bCs/>
                <w:color w:val="auto"/>
                <w:sz w:val="32"/>
                <w:szCs w:val="24"/>
                <w:highlight w:val="none"/>
              </w:rPr>
              <w:t>采  购 人：</w:t>
            </w:r>
          </w:p>
        </w:tc>
        <w:tc>
          <w:tcPr>
            <w:tcW w:w="4677" w:type="dxa"/>
            <w:vAlign w:val="center"/>
          </w:tcPr>
          <w:p w14:paraId="4CB547DC">
            <w:pPr>
              <w:spacing w:line="500" w:lineRule="exact"/>
              <w:jc w:val="left"/>
              <w:rPr>
                <w:rFonts w:hint="eastAsia" w:ascii="Times New Roman" w:hAnsi="Times New Roman"/>
                <w:b/>
                <w:bCs/>
                <w:color w:val="auto"/>
                <w:sz w:val="32"/>
                <w:szCs w:val="24"/>
                <w:highlight w:val="none"/>
              </w:rPr>
            </w:pPr>
            <w:r>
              <w:rPr>
                <w:rFonts w:hint="eastAsia" w:ascii="Times New Roman" w:hAnsi="Times New Roman"/>
                <w:b/>
                <w:bCs/>
                <w:color w:val="auto"/>
                <w:sz w:val="32"/>
                <w:szCs w:val="24"/>
                <w:highlight w:val="none"/>
                <w:lang w:eastAsia="zh-CN"/>
              </w:rPr>
              <w:t>沭阳县人民政府章集街道办事处</w:t>
            </w:r>
          </w:p>
        </w:tc>
      </w:tr>
      <w:tr w14:paraId="44E2DDBB">
        <w:tblPrEx>
          <w:tblCellMar>
            <w:top w:w="0" w:type="dxa"/>
            <w:left w:w="108" w:type="dxa"/>
            <w:bottom w:w="0" w:type="dxa"/>
            <w:right w:w="108" w:type="dxa"/>
          </w:tblCellMar>
        </w:tblPrEx>
        <w:trPr>
          <w:trHeight w:val="617" w:hRule="atLeast"/>
          <w:jc w:val="center"/>
        </w:trPr>
        <w:tc>
          <w:tcPr>
            <w:tcW w:w="2923" w:type="dxa"/>
            <w:vAlign w:val="center"/>
          </w:tcPr>
          <w:p w14:paraId="50443A22">
            <w:pPr>
              <w:spacing w:line="500" w:lineRule="exact"/>
              <w:jc w:val="left"/>
              <w:rPr>
                <w:rFonts w:hint="eastAsia" w:ascii="Times New Roman" w:hAnsi="Times New Roman"/>
                <w:b/>
                <w:bCs/>
                <w:color w:val="auto"/>
                <w:sz w:val="32"/>
                <w:szCs w:val="24"/>
                <w:highlight w:val="none"/>
              </w:rPr>
            </w:pPr>
            <w:r>
              <w:rPr>
                <w:rFonts w:hint="eastAsia" w:ascii="Times New Roman" w:hAnsi="Times New Roman"/>
                <w:b/>
                <w:bCs/>
                <w:color w:val="auto"/>
                <w:sz w:val="32"/>
                <w:szCs w:val="24"/>
                <w:highlight w:val="none"/>
              </w:rPr>
              <w:t>采购代理机构：</w:t>
            </w:r>
          </w:p>
        </w:tc>
        <w:tc>
          <w:tcPr>
            <w:tcW w:w="4677" w:type="dxa"/>
            <w:vAlign w:val="center"/>
          </w:tcPr>
          <w:p w14:paraId="6477040A">
            <w:pPr>
              <w:spacing w:line="500" w:lineRule="exact"/>
              <w:jc w:val="left"/>
              <w:rPr>
                <w:rFonts w:hint="eastAsia" w:ascii="Times New Roman" w:hAnsi="Times New Roman"/>
                <w:b/>
                <w:bCs/>
                <w:color w:val="auto"/>
                <w:sz w:val="32"/>
                <w:szCs w:val="24"/>
                <w:highlight w:val="none"/>
                <w:lang w:val="en-US" w:eastAsia="zh-CN"/>
              </w:rPr>
            </w:pPr>
            <w:r>
              <w:rPr>
                <w:rFonts w:hint="eastAsia" w:ascii="Times New Roman" w:hAnsi="Times New Roman"/>
                <w:b/>
                <w:bCs/>
                <w:color w:val="auto"/>
                <w:sz w:val="32"/>
                <w:szCs w:val="24"/>
                <w:highlight w:val="none"/>
                <w:lang w:eastAsia="zh-CN"/>
              </w:rPr>
              <w:t>江苏中亿华建设项目管理有限公司</w:t>
            </w:r>
          </w:p>
        </w:tc>
      </w:tr>
    </w:tbl>
    <w:p w14:paraId="4E613091">
      <w:pPr>
        <w:spacing w:line="360" w:lineRule="auto"/>
        <w:jc w:val="left"/>
        <w:rPr>
          <w:rFonts w:hint="eastAsia" w:ascii="宋体" w:hAnsi="宋体" w:cs="宋体"/>
          <w:color w:val="auto"/>
          <w:sz w:val="24"/>
          <w:szCs w:val="24"/>
          <w:highlight w:val="none"/>
        </w:rPr>
      </w:pPr>
    </w:p>
    <w:p w14:paraId="0190F828">
      <w:pPr>
        <w:spacing w:before="120" w:after="120" w:line="360" w:lineRule="auto"/>
        <w:jc w:val="center"/>
        <w:rPr>
          <w:rFonts w:ascii="Arial" w:hAnsi="Arial"/>
          <w:b/>
          <w:color w:val="auto"/>
          <w:sz w:val="32"/>
          <w:szCs w:val="24"/>
          <w:highlight w:val="none"/>
        </w:rPr>
      </w:pPr>
    </w:p>
    <w:p w14:paraId="318CC2F7">
      <w:pPr>
        <w:spacing w:before="120" w:after="120" w:line="360" w:lineRule="auto"/>
        <w:jc w:val="center"/>
        <w:rPr>
          <w:rFonts w:ascii="Arial" w:hAnsi="Arial"/>
          <w:b/>
          <w:color w:val="auto"/>
          <w:sz w:val="32"/>
          <w:szCs w:val="24"/>
          <w:highlight w:val="none"/>
        </w:rPr>
      </w:pPr>
    </w:p>
    <w:p w14:paraId="00204C8F">
      <w:pPr>
        <w:spacing w:before="120" w:after="120" w:line="360" w:lineRule="auto"/>
        <w:jc w:val="center"/>
        <w:rPr>
          <w:rFonts w:ascii="Arial" w:hAnsi="Arial"/>
          <w:b/>
          <w:color w:val="auto"/>
          <w:sz w:val="32"/>
          <w:szCs w:val="24"/>
          <w:highlight w:val="none"/>
        </w:rPr>
      </w:pPr>
      <w:r>
        <w:rPr>
          <w:rFonts w:ascii="Arial" w:hAnsi="Arial"/>
          <w:b/>
          <w:color w:val="auto"/>
          <w:sz w:val="32"/>
          <w:szCs w:val="24"/>
          <w:highlight w:val="none"/>
        </w:rPr>
        <w:t>202</w:t>
      </w:r>
      <w:r>
        <w:rPr>
          <w:rFonts w:hint="eastAsia" w:ascii="Arial" w:hAnsi="Arial"/>
          <w:b/>
          <w:color w:val="auto"/>
          <w:sz w:val="32"/>
          <w:szCs w:val="24"/>
          <w:highlight w:val="none"/>
        </w:rPr>
        <w:t>5</w:t>
      </w:r>
      <w:r>
        <w:rPr>
          <w:rFonts w:hint="eastAsia" w:ascii="Arial" w:hAnsi="Arial" w:cs="宋体"/>
          <w:b/>
          <w:color w:val="auto"/>
          <w:sz w:val="32"/>
          <w:szCs w:val="24"/>
          <w:highlight w:val="none"/>
        </w:rPr>
        <w:t>年</w:t>
      </w:r>
      <w:r>
        <w:rPr>
          <w:rFonts w:hint="eastAsia" w:ascii="Arial" w:hAnsi="Arial" w:cs="宋体"/>
          <w:b/>
          <w:color w:val="auto"/>
          <w:sz w:val="32"/>
          <w:szCs w:val="24"/>
          <w:highlight w:val="yellow"/>
          <w:lang w:val="en-US" w:eastAsia="zh-CN"/>
        </w:rPr>
        <w:t>6</w:t>
      </w:r>
      <w:r>
        <w:rPr>
          <w:rFonts w:hint="eastAsia" w:ascii="Arial" w:hAnsi="Arial" w:cs="宋体"/>
          <w:b/>
          <w:color w:val="auto"/>
          <w:sz w:val="32"/>
          <w:szCs w:val="24"/>
          <w:highlight w:val="none"/>
        </w:rPr>
        <w:t>月</w:t>
      </w:r>
      <w:r>
        <w:rPr>
          <w:rFonts w:hint="eastAsia" w:ascii="Arial" w:hAnsi="Arial" w:cs="宋体"/>
          <w:b/>
          <w:color w:val="auto"/>
          <w:sz w:val="32"/>
          <w:szCs w:val="24"/>
          <w:highlight w:val="none"/>
          <w:lang w:val="en-US" w:eastAsia="zh-CN"/>
        </w:rPr>
        <w:t xml:space="preserve"> </w:t>
      </w:r>
      <w:r>
        <w:rPr>
          <w:rFonts w:hint="eastAsia" w:ascii="Arial" w:hAnsi="Arial" w:cs="宋体"/>
          <w:b/>
          <w:color w:val="auto"/>
          <w:sz w:val="32"/>
          <w:szCs w:val="24"/>
          <w:highlight w:val="none"/>
        </w:rPr>
        <w:t>日</w:t>
      </w:r>
    </w:p>
    <w:p w14:paraId="7225CC38">
      <w:pPr>
        <w:jc w:val="center"/>
        <w:rPr>
          <w:rFonts w:ascii="Times New Roman" w:hAnsi="Times New Roman" w:eastAsia="黑体"/>
          <w:color w:val="auto"/>
          <w:sz w:val="36"/>
          <w:highlight w:val="none"/>
        </w:rPr>
      </w:pPr>
    </w:p>
    <w:p w14:paraId="185F7909">
      <w:pPr>
        <w:jc w:val="center"/>
        <w:rPr>
          <w:rFonts w:ascii="Times New Roman" w:hAnsi="Times New Roman" w:eastAsia="黑体"/>
          <w:color w:val="auto"/>
          <w:sz w:val="36"/>
          <w:highlight w:val="none"/>
        </w:rPr>
      </w:pPr>
    </w:p>
    <w:p w14:paraId="2F1886BB">
      <w:pPr>
        <w:jc w:val="center"/>
        <w:rPr>
          <w:rFonts w:ascii="Times New Roman" w:hAnsi="Times New Roman" w:eastAsia="黑体"/>
          <w:color w:val="auto"/>
          <w:sz w:val="36"/>
          <w:highlight w:val="none"/>
        </w:rPr>
      </w:pPr>
      <w:r>
        <w:rPr>
          <w:rFonts w:hint="eastAsia" w:ascii="Times New Roman" w:hAnsi="Times New Roman" w:eastAsia="黑体"/>
          <w:color w:val="auto"/>
          <w:sz w:val="36"/>
          <w:highlight w:val="none"/>
        </w:rPr>
        <w:t>目    录</w:t>
      </w:r>
    </w:p>
    <w:p w14:paraId="5AF58049">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rFonts w:hint="eastAsia" w:ascii="Times New Roman" w:hAnsi="Times New Roman" w:eastAsia="黑体"/>
          <w:b w:val="0"/>
          <w:bCs w:val="0"/>
          <w:caps w:val="0"/>
          <w:color w:val="auto"/>
          <w:sz w:val="32"/>
          <w:highlight w:val="none"/>
        </w:rPr>
        <w:fldChar w:fldCharType="begin"/>
      </w:r>
      <w:r>
        <w:rPr>
          <w:rFonts w:hint="eastAsia" w:ascii="Times New Roman" w:hAnsi="Times New Roman" w:eastAsia="黑体"/>
          <w:b w:val="0"/>
          <w:bCs w:val="0"/>
          <w:caps w:val="0"/>
          <w:color w:val="auto"/>
          <w:sz w:val="32"/>
          <w:highlight w:val="none"/>
        </w:rPr>
        <w:instrText xml:space="preserve">TOC \o "1-1" \h \u </w:instrText>
      </w:r>
      <w:r>
        <w:rPr>
          <w:rFonts w:hint="eastAsia" w:ascii="Times New Roman" w:hAnsi="Times New Roman" w:eastAsia="黑体"/>
          <w:b w:val="0"/>
          <w:bCs w:val="0"/>
          <w:caps w:val="0"/>
          <w:color w:val="auto"/>
          <w:sz w:val="32"/>
          <w:highlight w:val="none"/>
        </w:rPr>
        <w:fldChar w:fldCharType="separate"/>
      </w:r>
      <w:r>
        <w:rPr>
          <w:color w:val="auto"/>
          <w:highlight w:val="none"/>
        </w:rPr>
        <w:fldChar w:fldCharType="begin"/>
      </w:r>
      <w:r>
        <w:rPr>
          <w:color w:val="auto"/>
          <w:highlight w:val="none"/>
        </w:rPr>
        <w:instrText xml:space="preserve"> HYPERLINK \l "_Toc7294" </w:instrText>
      </w:r>
      <w:r>
        <w:rPr>
          <w:color w:val="auto"/>
          <w:highlight w:val="none"/>
        </w:rPr>
        <w:fldChar w:fldCharType="separate"/>
      </w:r>
      <w:r>
        <w:rPr>
          <w:rFonts w:hint="eastAsia" w:ascii="Times New Roman" w:hAnsi="Times New Roman" w:eastAsia="黑体" w:cs="黑体"/>
          <w:b w:val="0"/>
          <w:bCs w:val="0"/>
          <w:caps w:val="0"/>
          <w:color w:val="auto"/>
          <w:sz w:val="32"/>
          <w:szCs w:val="44"/>
          <w:highlight w:val="none"/>
        </w:rPr>
        <w:t>第一章  磋商邀请</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_Toc7294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3</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17474DE2">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"_Toc3297" </w:instrText>
      </w:r>
      <w:r>
        <w:rPr>
          <w:color w:val="auto"/>
          <w:highlight w:val="none"/>
        </w:rPr>
        <w:fldChar w:fldCharType="separate"/>
      </w:r>
      <w:r>
        <w:rPr>
          <w:rFonts w:hint="eastAsia" w:ascii="Times New Roman" w:hAnsi="Times New Roman" w:eastAsia="黑体"/>
          <w:b w:val="0"/>
          <w:bCs w:val="0"/>
          <w:caps w:val="0"/>
          <w:color w:val="auto"/>
          <w:sz w:val="32"/>
          <w:highlight w:val="none"/>
        </w:rPr>
        <w:t>第二章  供应商须知</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_Toc3297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6</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25839704">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"_Toc21941" </w:instrText>
      </w:r>
      <w:r>
        <w:rPr>
          <w:color w:val="auto"/>
          <w:highlight w:val="none"/>
        </w:rPr>
        <w:fldChar w:fldCharType="separate"/>
      </w:r>
      <w:r>
        <w:rPr>
          <w:rFonts w:hint="eastAsia" w:ascii="Times New Roman" w:hAnsi="Times New Roman" w:eastAsia="黑体"/>
          <w:b w:val="0"/>
          <w:bCs w:val="0"/>
          <w:caps w:val="0"/>
          <w:color w:val="auto"/>
          <w:sz w:val="32"/>
          <w:highlight w:val="none"/>
        </w:rPr>
        <w:t>第三章  评审方法与评审标准</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_Toc21941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20</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44454BF8">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"_Toc1519" </w:instrText>
      </w:r>
      <w:r>
        <w:rPr>
          <w:color w:val="auto"/>
          <w:highlight w:val="none"/>
        </w:rPr>
        <w:fldChar w:fldCharType="separate"/>
      </w:r>
      <w:r>
        <w:rPr>
          <w:rFonts w:ascii="Times New Roman" w:hAnsi="Times New Roman" w:eastAsia="黑体"/>
          <w:b w:val="0"/>
          <w:bCs w:val="0"/>
          <w:caps w:val="0"/>
          <w:color w:val="auto"/>
          <w:sz w:val="32"/>
          <w:szCs w:val="44"/>
          <w:highlight w:val="none"/>
        </w:rPr>
        <w:t>第四</w:t>
      </w:r>
      <w:r>
        <w:rPr>
          <w:rFonts w:hint="eastAsia" w:ascii="Times New Roman" w:hAnsi="Times New Roman" w:eastAsia="黑体"/>
          <w:b w:val="0"/>
          <w:bCs w:val="0"/>
          <w:caps w:val="0"/>
          <w:color w:val="auto"/>
          <w:sz w:val="32"/>
          <w:szCs w:val="44"/>
          <w:highlight w:val="none"/>
        </w:rPr>
        <w:t xml:space="preserve">章  </w:t>
      </w:r>
      <w:r>
        <w:rPr>
          <w:rFonts w:ascii="Times New Roman" w:hAnsi="Times New Roman" w:eastAsia="黑体"/>
          <w:b w:val="0"/>
          <w:bCs w:val="0"/>
          <w:caps w:val="0"/>
          <w:color w:val="auto"/>
          <w:sz w:val="32"/>
          <w:szCs w:val="44"/>
          <w:highlight w:val="none"/>
        </w:rPr>
        <w:t>采购需求</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_Toc1519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22</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318048EE">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"_Toc2833" </w:instrText>
      </w:r>
      <w:r>
        <w:rPr>
          <w:color w:val="auto"/>
          <w:highlight w:val="none"/>
        </w:rPr>
        <w:fldChar w:fldCharType="separate"/>
      </w:r>
      <w:r>
        <w:rPr>
          <w:rFonts w:hint="eastAsia" w:ascii="Times New Roman" w:hAnsi="Times New Roman" w:eastAsia="黑体"/>
          <w:b w:val="0"/>
          <w:bCs w:val="0"/>
          <w:caps w:val="0"/>
          <w:color w:val="auto"/>
          <w:sz w:val="32"/>
          <w:szCs w:val="44"/>
          <w:highlight w:val="none"/>
        </w:rPr>
        <w:t>第五章  合同文本</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_Toc2833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24</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217A9227">
      <w:pPr>
        <w:pStyle w:val="30"/>
        <w:tabs>
          <w:tab w:val="right" w:leader="dot" w:pos="8306"/>
        </w:tabs>
        <w:spacing w:before="0" w:after="0" w:line="700" w:lineRule="exact"/>
        <w:rPr>
          <w:rFonts w:ascii="Times New Roman" w:hAnsi="Times New Roman" w:eastAsia="黑体"/>
          <w:b w:val="0"/>
          <w:bCs w:val="0"/>
          <w:caps w:val="0"/>
          <w:color w:val="auto"/>
          <w:sz w:val="32"/>
          <w:highlight w:val="none"/>
        </w:rPr>
      </w:pPr>
      <w:r>
        <w:rPr>
          <w:color w:val="auto"/>
          <w:highlight w:val="none"/>
        </w:rPr>
        <w:fldChar w:fldCharType="begin"/>
      </w:r>
      <w:r>
        <w:rPr>
          <w:color w:val="auto"/>
          <w:highlight w:val="none"/>
        </w:rPr>
        <w:instrText xml:space="preserve"> HYPERLINK \l "_Toc22631" </w:instrText>
      </w:r>
      <w:r>
        <w:rPr>
          <w:color w:val="auto"/>
          <w:highlight w:val="none"/>
        </w:rPr>
        <w:fldChar w:fldCharType="separate"/>
      </w:r>
      <w:r>
        <w:rPr>
          <w:rFonts w:hint="eastAsia" w:ascii="Times New Roman" w:hAnsi="Times New Roman" w:eastAsia="黑体"/>
          <w:b w:val="0"/>
          <w:bCs w:val="0"/>
          <w:caps w:val="0"/>
          <w:color w:val="auto"/>
          <w:sz w:val="32"/>
          <w:szCs w:val="44"/>
          <w:highlight w:val="none"/>
        </w:rPr>
        <w:t>第六章  响应文件格式</w:t>
      </w:r>
      <w:r>
        <w:rPr>
          <w:rFonts w:ascii="Times New Roman" w:hAnsi="Times New Roman" w:eastAsia="黑体"/>
          <w:b w:val="0"/>
          <w:bCs w:val="0"/>
          <w:caps w:val="0"/>
          <w:color w:val="auto"/>
          <w:sz w:val="32"/>
          <w:highlight w:val="none"/>
        </w:rPr>
        <w:tab/>
      </w:r>
      <w:r>
        <w:rPr>
          <w:rFonts w:ascii="Times New Roman" w:hAnsi="Times New Roman" w:eastAsia="黑体"/>
          <w:b w:val="0"/>
          <w:bCs w:val="0"/>
          <w:caps w:val="0"/>
          <w:color w:val="auto"/>
          <w:sz w:val="32"/>
          <w:highlight w:val="none"/>
        </w:rPr>
        <w:fldChar w:fldCharType="begin"/>
      </w:r>
      <w:r>
        <w:rPr>
          <w:rFonts w:ascii="Times New Roman" w:hAnsi="Times New Roman" w:eastAsia="黑体"/>
          <w:b w:val="0"/>
          <w:bCs w:val="0"/>
          <w:caps w:val="0"/>
          <w:color w:val="auto"/>
          <w:sz w:val="32"/>
          <w:highlight w:val="none"/>
        </w:rPr>
        <w:instrText xml:space="preserve"> PAGEREF _Toc22631 \h </w:instrText>
      </w:r>
      <w:r>
        <w:rPr>
          <w:rFonts w:ascii="Times New Roman" w:hAnsi="Times New Roman" w:eastAsia="黑体"/>
          <w:b w:val="0"/>
          <w:bCs w:val="0"/>
          <w:caps w:val="0"/>
          <w:color w:val="auto"/>
          <w:sz w:val="32"/>
          <w:highlight w:val="none"/>
        </w:rPr>
        <w:fldChar w:fldCharType="separate"/>
      </w:r>
      <w:r>
        <w:rPr>
          <w:rFonts w:ascii="Times New Roman" w:hAnsi="Times New Roman" w:eastAsia="黑体"/>
          <w:b w:val="0"/>
          <w:bCs w:val="0"/>
          <w:caps w:val="0"/>
          <w:color w:val="auto"/>
          <w:sz w:val="32"/>
          <w:highlight w:val="none"/>
        </w:rPr>
        <w:t>44</w:t>
      </w:r>
      <w:r>
        <w:rPr>
          <w:rFonts w:ascii="Times New Roman" w:hAnsi="Times New Roman" w:eastAsia="黑体"/>
          <w:b w:val="0"/>
          <w:bCs w:val="0"/>
          <w:caps w:val="0"/>
          <w:color w:val="auto"/>
          <w:sz w:val="32"/>
          <w:highlight w:val="none"/>
        </w:rPr>
        <w:fldChar w:fldCharType="end"/>
      </w:r>
      <w:r>
        <w:rPr>
          <w:rFonts w:ascii="Times New Roman" w:hAnsi="Times New Roman" w:eastAsia="黑体"/>
          <w:b w:val="0"/>
          <w:bCs w:val="0"/>
          <w:caps w:val="0"/>
          <w:color w:val="auto"/>
          <w:sz w:val="32"/>
          <w:highlight w:val="none"/>
        </w:rPr>
        <w:fldChar w:fldCharType="end"/>
      </w:r>
    </w:p>
    <w:p w14:paraId="7645A4C7">
      <w:pPr>
        <w:spacing w:line="700" w:lineRule="exact"/>
        <w:jc w:val="center"/>
        <w:rPr>
          <w:rFonts w:ascii="Times New Roman" w:hAnsi="Times New Roman" w:eastAsia="黑体"/>
          <w:color w:val="auto"/>
          <w:sz w:val="32"/>
          <w:highlight w:val="none"/>
        </w:rPr>
      </w:pPr>
      <w:r>
        <w:rPr>
          <w:rFonts w:hint="eastAsia" w:ascii="Times New Roman" w:hAnsi="Times New Roman" w:eastAsia="黑体"/>
          <w:color w:val="auto"/>
          <w:sz w:val="32"/>
          <w:highlight w:val="none"/>
        </w:rPr>
        <w:fldChar w:fldCharType="end"/>
      </w:r>
    </w:p>
    <w:p w14:paraId="68CF527D">
      <w:pPr>
        <w:spacing w:line="700" w:lineRule="exact"/>
        <w:jc w:val="center"/>
        <w:rPr>
          <w:rFonts w:ascii="Times New Roman" w:hAnsi="Times New Roman" w:eastAsia="黑体"/>
          <w:color w:val="auto"/>
          <w:sz w:val="32"/>
          <w:highlight w:val="none"/>
        </w:rPr>
      </w:pPr>
    </w:p>
    <w:p w14:paraId="749C6A56">
      <w:pPr>
        <w:spacing w:line="700" w:lineRule="exact"/>
        <w:jc w:val="center"/>
        <w:rPr>
          <w:rFonts w:ascii="Times New Roman" w:hAnsi="Times New Roman" w:eastAsia="黑体"/>
          <w:color w:val="auto"/>
          <w:sz w:val="32"/>
          <w:highlight w:val="none"/>
        </w:rPr>
      </w:pPr>
    </w:p>
    <w:p w14:paraId="2FA858C8">
      <w:pPr>
        <w:spacing w:line="700" w:lineRule="exact"/>
        <w:jc w:val="center"/>
        <w:rPr>
          <w:rFonts w:ascii="Times New Roman" w:hAnsi="Times New Roman" w:eastAsia="黑体"/>
          <w:color w:val="auto"/>
          <w:sz w:val="32"/>
          <w:highlight w:val="none"/>
        </w:rPr>
      </w:pPr>
    </w:p>
    <w:p w14:paraId="6862CE17">
      <w:pPr>
        <w:spacing w:line="700" w:lineRule="exact"/>
        <w:jc w:val="center"/>
        <w:rPr>
          <w:rFonts w:ascii="Times New Roman" w:hAnsi="Times New Roman" w:eastAsia="黑体"/>
          <w:color w:val="auto"/>
          <w:sz w:val="32"/>
          <w:highlight w:val="none"/>
        </w:rPr>
      </w:pPr>
    </w:p>
    <w:p w14:paraId="3189359A">
      <w:pPr>
        <w:spacing w:line="700" w:lineRule="exact"/>
        <w:jc w:val="center"/>
        <w:rPr>
          <w:rFonts w:ascii="Times New Roman" w:hAnsi="Times New Roman" w:eastAsia="黑体"/>
          <w:color w:val="auto"/>
          <w:sz w:val="32"/>
          <w:highlight w:val="none"/>
        </w:rPr>
      </w:pPr>
    </w:p>
    <w:p w14:paraId="77DA2856">
      <w:pPr>
        <w:spacing w:line="700" w:lineRule="exact"/>
        <w:jc w:val="center"/>
        <w:rPr>
          <w:rFonts w:ascii="Times New Roman" w:hAnsi="Times New Roman" w:eastAsia="黑体"/>
          <w:color w:val="auto"/>
          <w:sz w:val="32"/>
          <w:highlight w:val="none"/>
        </w:rPr>
      </w:pPr>
    </w:p>
    <w:p w14:paraId="074A71D1">
      <w:pPr>
        <w:spacing w:line="700" w:lineRule="exact"/>
        <w:jc w:val="center"/>
        <w:rPr>
          <w:rFonts w:ascii="Times New Roman" w:hAnsi="Times New Roman" w:eastAsia="黑体"/>
          <w:color w:val="auto"/>
          <w:sz w:val="32"/>
          <w:highlight w:val="none"/>
        </w:rPr>
      </w:pPr>
    </w:p>
    <w:p w14:paraId="4DFD1B18">
      <w:pPr>
        <w:spacing w:line="700" w:lineRule="exact"/>
        <w:jc w:val="center"/>
        <w:rPr>
          <w:rFonts w:ascii="Times New Roman" w:hAnsi="Times New Roman" w:eastAsia="黑体"/>
          <w:color w:val="auto"/>
          <w:sz w:val="32"/>
          <w:highlight w:val="none"/>
        </w:rPr>
      </w:pPr>
    </w:p>
    <w:p w14:paraId="02053C18">
      <w:pPr>
        <w:spacing w:line="700" w:lineRule="exact"/>
        <w:jc w:val="center"/>
        <w:rPr>
          <w:rFonts w:ascii="Times New Roman" w:hAnsi="Times New Roman" w:eastAsia="黑体"/>
          <w:color w:val="auto"/>
          <w:sz w:val="32"/>
          <w:highlight w:val="none"/>
        </w:rPr>
      </w:pPr>
    </w:p>
    <w:p w14:paraId="0FF86723">
      <w:pPr>
        <w:spacing w:line="700" w:lineRule="exact"/>
        <w:jc w:val="both"/>
        <w:rPr>
          <w:rFonts w:ascii="Times New Roman" w:hAnsi="Times New Roman" w:eastAsia="黑体"/>
          <w:color w:val="auto"/>
          <w:sz w:val="32"/>
          <w:highlight w:val="none"/>
        </w:rPr>
      </w:pPr>
    </w:p>
    <w:p w14:paraId="47997398">
      <w:pPr>
        <w:rPr>
          <w:rFonts w:ascii="Times New Roman" w:hAnsi="Times New Roman" w:eastAsia="黑体"/>
          <w:color w:val="auto"/>
          <w:sz w:val="32"/>
          <w:highlight w:val="none"/>
        </w:rPr>
      </w:pPr>
      <w:r>
        <w:rPr>
          <w:rFonts w:hint="eastAsia" w:ascii="Times New Roman" w:hAnsi="Times New Roman" w:eastAsia="黑体"/>
          <w:color w:val="auto"/>
          <w:sz w:val="32"/>
          <w:highlight w:val="none"/>
        </w:rPr>
        <w:br w:type="page"/>
      </w:r>
    </w:p>
    <w:p w14:paraId="64F46BCD">
      <w:pPr>
        <w:pStyle w:val="2"/>
        <w:jc w:val="center"/>
        <w:rPr>
          <w:rFonts w:hint="eastAsia" w:ascii="黑体" w:hAnsi="黑体" w:eastAsia="黑体" w:cs="黑体"/>
          <w:color w:val="auto"/>
          <w:sz w:val="44"/>
          <w:szCs w:val="44"/>
          <w:highlight w:val="none"/>
        </w:rPr>
      </w:pPr>
      <w:bookmarkStart w:id="0" w:name="_Toc7294"/>
      <w:bookmarkStart w:id="1" w:name="_Toc27259"/>
      <w:bookmarkStart w:id="2" w:name="_Toc13414"/>
      <w:bookmarkStart w:id="3" w:name="_Toc141869960"/>
      <w:r>
        <w:rPr>
          <w:rFonts w:hint="eastAsia" w:ascii="黑体" w:hAnsi="黑体" w:eastAsia="黑体" w:cs="黑体"/>
          <w:color w:val="auto"/>
          <w:sz w:val="44"/>
          <w:szCs w:val="44"/>
          <w:highlight w:val="none"/>
        </w:rPr>
        <w:t>第一章  磋商邀请</w:t>
      </w:r>
      <w:bookmarkEnd w:id="0"/>
      <w:bookmarkEnd w:id="1"/>
      <w:bookmarkEnd w:id="2"/>
    </w:p>
    <w:p w14:paraId="0FD892A8">
      <w:pPr>
        <w:spacing w:line="520" w:lineRule="exact"/>
        <w:ind w:firstLine="480"/>
        <w:rPr>
          <w:rFonts w:ascii="Times New Roman" w:hAnsi="Times New Roman" w:cs="宋体"/>
          <w:color w:val="auto"/>
          <w:sz w:val="24"/>
          <w:szCs w:val="24"/>
          <w:highlight w:val="none"/>
        </w:rPr>
      </w:pPr>
      <w:r>
        <w:rPr>
          <w:rFonts w:hint="eastAsia" w:ascii="宋体" w:hAnsi="宋体"/>
          <w:color w:val="auto"/>
          <w:sz w:val="24"/>
          <w:szCs w:val="24"/>
          <w:highlight w:val="none"/>
        </w:rPr>
        <w:t>受</w:t>
      </w:r>
      <w:r>
        <w:rPr>
          <w:rFonts w:hint="eastAsia" w:ascii="仿宋" w:hAnsi="仿宋" w:eastAsia="仿宋" w:cs="仿宋"/>
          <w:color w:val="000000"/>
          <w:sz w:val="28"/>
          <w:u w:val="single"/>
          <w:lang w:eastAsia="zh-CN"/>
        </w:rPr>
        <w:t>沭阳县人民政府章集街道办事处</w:t>
      </w:r>
      <w:r>
        <w:rPr>
          <w:rFonts w:hint="eastAsia" w:ascii="宋体" w:hAnsi="宋体"/>
          <w:color w:val="auto"/>
          <w:sz w:val="24"/>
          <w:szCs w:val="24"/>
          <w:highlight w:val="none"/>
        </w:rPr>
        <w:t>的委托，</w:t>
      </w:r>
      <w:r>
        <w:rPr>
          <w:rFonts w:hint="eastAsia" w:ascii="仿宋" w:hAnsi="仿宋" w:eastAsia="仿宋" w:cs="仿宋"/>
          <w:color w:val="000000"/>
          <w:sz w:val="28"/>
          <w:u w:val="single"/>
          <w:lang w:eastAsia="zh-CN"/>
        </w:rPr>
        <w:t>江苏中亿华建设项目管理有限公司</w:t>
      </w:r>
      <w:r>
        <w:rPr>
          <w:rFonts w:hint="eastAsia" w:ascii="Times New Roman" w:hAnsi="Times New Roman" w:cs="方正仿宋_GBK"/>
          <w:color w:val="auto"/>
          <w:sz w:val="24"/>
          <w:szCs w:val="24"/>
          <w:highlight w:val="none"/>
        </w:rPr>
        <w:t>就</w:t>
      </w:r>
      <w:r>
        <w:rPr>
          <w:rFonts w:hint="eastAsia" w:ascii="仿宋" w:hAnsi="仿宋" w:eastAsia="仿宋" w:cs="仿宋"/>
          <w:color w:val="000000"/>
          <w:sz w:val="28"/>
          <w:u w:val="single"/>
          <w:lang w:eastAsia="zh-CN"/>
        </w:rPr>
        <w:t>沭阳县人民政府章集街道年度保洁外包服务</w:t>
      </w:r>
      <w:r>
        <w:rPr>
          <w:rFonts w:ascii="仿宋" w:hAnsi="仿宋" w:eastAsia="仿宋" w:cs="仿宋"/>
          <w:color w:val="000000"/>
          <w:sz w:val="28"/>
          <w:u w:val="single"/>
        </w:rPr>
        <w:t>采购项目</w:t>
      </w:r>
      <w:r>
        <w:rPr>
          <w:rFonts w:hint="eastAsia" w:ascii="宋体" w:hAnsi="宋体"/>
          <w:color w:val="auto"/>
          <w:sz w:val="24"/>
          <w:szCs w:val="24"/>
          <w:highlight w:val="none"/>
        </w:rPr>
        <w:t>(</w:t>
      </w:r>
      <w:r>
        <w:rPr>
          <w:rFonts w:hint="eastAsia" w:ascii="仿宋" w:hAnsi="仿宋" w:eastAsia="仿宋" w:cs="仿宋"/>
          <w:color w:val="000000"/>
          <w:sz w:val="28"/>
          <w:u w:val="single"/>
          <w:lang w:eastAsia="zh-CN"/>
        </w:rPr>
        <w:t>JSZC-321322-WCCA-C2025-0003)</w:t>
      </w:r>
      <w:r>
        <w:rPr>
          <w:rFonts w:hint="eastAsia" w:ascii="Times New Roman" w:hAnsi="Times New Roman" w:cs="宋体"/>
          <w:color w:val="auto"/>
          <w:sz w:val="24"/>
          <w:szCs w:val="24"/>
          <w:highlight w:val="none"/>
        </w:rPr>
        <w:t>进行竞争性磋商采购，欢迎符合条件的供应商参加磋商。</w:t>
      </w:r>
    </w:p>
    <w:p w14:paraId="027F0230">
      <w:pPr>
        <w:pBdr>
          <w:top w:val="single" w:color="000000" w:sz="4" w:space="1"/>
          <w:left w:val="single" w:color="000000" w:sz="4" w:space="4"/>
          <w:bottom w:val="single" w:color="000000" w:sz="4" w:space="1"/>
          <w:right w:val="single" w:color="000000" w:sz="4" w:space="4"/>
        </w:pBdr>
        <w:spacing w:line="500" w:lineRule="exact"/>
        <w:ind w:firstLine="48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项目概况</w:t>
      </w:r>
    </w:p>
    <w:p w14:paraId="5D83A608">
      <w:pPr>
        <w:pBdr>
          <w:top w:val="single" w:color="000000" w:sz="4" w:space="1"/>
          <w:left w:val="single" w:color="000000" w:sz="4" w:space="4"/>
          <w:bottom w:val="single" w:color="000000" w:sz="4" w:space="1"/>
          <w:right w:val="single" w:color="000000" w:sz="4" w:space="4"/>
        </w:pBdr>
        <w:spacing w:line="500" w:lineRule="exact"/>
        <w:ind w:firstLine="480"/>
        <w:rPr>
          <w:rFonts w:ascii="Times New Roman" w:hAnsi="Times New Roman" w:cs="仿宋"/>
          <w:color w:val="auto"/>
          <w:sz w:val="24"/>
          <w:szCs w:val="24"/>
          <w:highlight w:val="none"/>
        </w:rPr>
      </w:pPr>
      <w:r>
        <w:rPr>
          <w:rFonts w:hint="eastAsia" w:ascii="仿宋" w:hAnsi="仿宋" w:eastAsia="仿宋" w:cs="仿宋"/>
          <w:color w:val="000000"/>
          <w:sz w:val="28"/>
          <w:u w:val="single"/>
          <w:lang w:eastAsia="zh-CN"/>
        </w:rPr>
        <w:t>沭阳县人民政府章集街道年度保洁外包服务</w:t>
      </w:r>
      <w:r>
        <w:rPr>
          <w:rFonts w:ascii="仿宋" w:hAnsi="仿宋" w:eastAsia="仿宋" w:cs="仿宋"/>
          <w:color w:val="000000"/>
          <w:sz w:val="28"/>
          <w:u w:val="single"/>
        </w:rPr>
        <w:t>采购项目</w:t>
      </w:r>
      <w:r>
        <w:rPr>
          <w:rFonts w:hint="eastAsia" w:ascii="Times New Roman" w:hAnsi="Times New Roman" w:cs="仿宋"/>
          <w:color w:val="auto"/>
          <w:sz w:val="24"/>
          <w:szCs w:val="24"/>
          <w:highlight w:val="none"/>
        </w:rPr>
        <w:t>的潜在供应商可在</w:t>
      </w:r>
      <w:r>
        <w:rPr>
          <w:rFonts w:hint="eastAsia" w:ascii="Times New Roman" w:hAnsi="Times New Roman" w:cs="方正仿宋_GBK"/>
          <w:color w:val="auto"/>
          <w:sz w:val="24"/>
          <w:szCs w:val="24"/>
          <w:highlight w:val="none"/>
        </w:rPr>
        <w:t>“江苏政府采购网</w:t>
      </w:r>
      <w:r>
        <w:rPr>
          <w:rFonts w:hint="eastAsia" w:ascii="Times New Roman" w:hAnsi="Times New Roman" w:cs="方正仿宋_GBK"/>
          <w:color w:val="auto"/>
          <w:sz w:val="24"/>
          <w:szCs w:val="24"/>
          <w:highlight w:val="none"/>
          <w:lang w:eastAsia="zh-CN"/>
        </w:rPr>
        <w:t>”“</w:t>
      </w:r>
      <w:r>
        <w:rPr>
          <w:rFonts w:hint="eastAsia" w:ascii="Times New Roman" w:hAnsi="Times New Roman" w:cs="方正仿宋_GBK"/>
          <w:color w:val="auto"/>
          <w:sz w:val="24"/>
          <w:szCs w:val="24"/>
          <w:highlight w:val="none"/>
        </w:rPr>
        <w:t>宿迁市政府采购网”</w:t>
      </w:r>
      <w:r>
        <w:rPr>
          <w:rFonts w:hint="eastAsia" w:ascii="Times New Roman" w:hAnsi="Times New Roman" w:cs="仿宋"/>
          <w:color w:val="auto"/>
          <w:sz w:val="24"/>
          <w:szCs w:val="24"/>
          <w:highlight w:val="none"/>
        </w:rPr>
        <w:t>自行免费获取磋商文件，并于</w:t>
      </w:r>
      <w:r>
        <w:rPr>
          <w:rFonts w:hint="eastAsia" w:ascii="Times New Roman" w:hAnsi="Times New Roman" w:cs="仿宋"/>
          <w:color w:val="auto"/>
          <w:sz w:val="24"/>
          <w:szCs w:val="24"/>
          <w:highlight w:val="none"/>
          <w:u w:val="single"/>
        </w:rPr>
        <w:t>2025</w:t>
      </w:r>
      <w:r>
        <w:rPr>
          <w:rFonts w:hint="eastAsia" w:ascii="Times New Roman" w:hAnsi="Times New Roman" w:cs="仿宋"/>
          <w:bCs/>
          <w:color w:val="auto"/>
          <w:sz w:val="24"/>
          <w:szCs w:val="24"/>
          <w:highlight w:val="none"/>
          <w:u w:val="single"/>
        </w:rPr>
        <w:t>年</w:t>
      </w:r>
      <w:r>
        <w:rPr>
          <w:rFonts w:hint="eastAsia" w:ascii="Times New Roman" w:hAnsi="Times New Roman" w:cs="仿宋"/>
          <w:bCs/>
          <w:color w:val="auto"/>
          <w:sz w:val="24"/>
          <w:szCs w:val="24"/>
          <w:highlight w:val="yellow"/>
          <w:u w:val="single"/>
        </w:rPr>
        <w:t xml:space="preserve"> </w:t>
      </w:r>
      <w:r>
        <w:rPr>
          <w:rFonts w:hint="eastAsia" w:ascii="Times New Roman" w:hAnsi="Times New Roman" w:cs="仿宋"/>
          <w:bCs/>
          <w:color w:val="auto"/>
          <w:sz w:val="24"/>
          <w:szCs w:val="24"/>
          <w:highlight w:val="none"/>
          <w:u w:val="single"/>
        </w:rPr>
        <w:t>月</w:t>
      </w:r>
      <w:r>
        <w:rPr>
          <w:rFonts w:hint="eastAsia" w:ascii="Times New Roman" w:hAnsi="Times New Roman" w:cs="仿宋"/>
          <w:bCs/>
          <w:color w:val="auto"/>
          <w:sz w:val="24"/>
          <w:szCs w:val="24"/>
          <w:highlight w:val="yellow"/>
          <w:u w:val="single"/>
          <w:lang w:val="en-US" w:eastAsia="zh-CN"/>
        </w:rPr>
        <w:t xml:space="preserve">  </w:t>
      </w:r>
      <w:r>
        <w:rPr>
          <w:rFonts w:hint="eastAsia" w:ascii="Times New Roman" w:hAnsi="Times New Roman" w:cs="仿宋"/>
          <w:bCs/>
          <w:color w:val="auto"/>
          <w:sz w:val="24"/>
          <w:szCs w:val="24"/>
          <w:highlight w:val="none"/>
          <w:u w:val="single"/>
        </w:rPr>
        <w:t>日09点30分（</w:t>
      </w:r>
      <w:r>
        <w:rPr>
          <w:rFonts w:hint="eastAsia" w:ascii="Times New Roman" w:hAnsi="Times New Roman" w:cs="仿宋"/>
          <w:bCs/>
          <w:color w:val="auto"/>
          <w:sz w:val="24"/>
          <w:szCs w:val="24"/>
          <w:highlight w:val="none"/>
        </w:rPr>
        <w:t>北京时间）前递交响应文件</w:t>
      </w:r>
      <w:r>
        <w:rPr>
          <w:rFonts w:hint="eastAsia" w:ascii="Times New Roman" w:hAnsi="Times New Roman" w:cs="仿宋"/>
          <w:color w:val="auto"/>
          <w:sz w:val="24"/>
          <w:szCs w:val="24"/>
          <w:highlight w:val="none"/>
        </w:rPr>
        <w:t>。</w:t>
      </w:r>
    </w:p>
    <w:p w14:paraId="1E855C66">
      <w:pPr>
        <w:pStyle w:val="3"/>
        <w:spacing w:before="0" w:after="0" w:line="520" w:lineRule="exact"/>
        <w:ind w:firstLine="321" w:firstLineChars="100"/>
        <w:rPr>
          <w:rFonts w:eastAsia="宋体"/>
          <w:b/>
          <w:bCs/>
          <w:color w:val="auto"/>
          <w:sz w:val="32"/>
          <w:highlight w:val="none"/>
        </w:rPr>
      </w:pPr>
      <w:bookmarkStart w:id="4" w:name="_Toc35393790"/>
      <w:bookmarkStart w:id="5" w:name="_Toc35393621"/>
      <w:bookmarkStart w:id="6" w:name="_Toc38985263"/>
      <w:bookmarkStart w:id="7" w:name="_Toc28359079"/>
      <w:bookmarkStart w:id="8" w:name="_Toc28359002"/>
      <w:bookmarkStart w:id="9" w:name="_Hlk24379207"/>
      <w:r>
        <w:rPr>
          <w:rFonts w:hint="eastAsia" w:eastAsia="宋体"/>
          <w:b/>
          <w:bCs/>
          <w:color w:val="auto"/>
          <w:sz w:val="32"/>
          <w:highlight w:val="none"/>
        </w:rPr>
        <w:t>一、项目基本情况</w:t>
      </w:r>
      <w:bookmarkEnd w:id="4"/>
      <w:bookmarkEnd w:id="5"/>
      <w:bookmarkEnd w:id="6"/>
      <w:bookmarkEnd w:id="7"/>
      <w:bookmarkEnd w:id="8"/>
    </w:p>
    <w:bookmarkEnd w:id="9"/>
    <w:p w14:paraId="7D367737">
      <w:pPr>
        <w:spacing w:line="480" w:lineRule="exact"/>
        <w:ind w:firstLine="480" w:firstLineChars="200"/>
        <w:rPr>
          <w:rFonts w:hint="eastAsia" w:ascii="Times New Roman" w:hAnsi="Times New Roman" w:cs="仿宋"/>
          <w:color w:val="auto"/>
          <w:sz w:val="24"/>
          <w:szCs w:val="24"/>
          <w:highlight w:val="none"/>
          <w:lang w:eastAsia="zh-CN"/>
        </w:rPr>
      </w:pPr>
      <w:r>
        <w:rPr>
          <w:rFonts w:hint="eastAsia" w:ascii="Times New Roman" w:hAnsi="Times New Roman" w:cs="仿宋"/>
          <w:color w:val="auto"/>
          <w:sz w:val="24"/>
          <w:szCs w:val="24"/>
          <w:highlight w:val="none"/>
        </w:rPr>
        <w:t>1.项目编号：JSZC-321322-WCCA-C2025-0003</w:t>
      </w:r>
    </w:p>
    <w:p w14:paraId="2D8861BB">
      <w:pPr>
        <w:spacing w:line="480" w:lineRule="exact"/>
        <w:ind w:firstLine="480" w:firstLineChars="200"/>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2.项目名称：</w:t>
      </w:r>
      <w:r>
        <w:rPr>
          <w:rFonts w:hint="eastAsia" w:ascii="Times New Roman" w:hAnsi="Times New Roman" w:cs="仿宋"/>
          <w:color w:val="auto"/>
          <w:sz w:val="24"/>
          <w:szCs w:val="24"/>
          <w:highlight w:val="none"/>
          <w:lang w:eastAsia="zh-CN"/>
        </w:rPr>
        <w:t>沭阳县人民政府章集街道年度保洁外包服务</w:t>
      </w:r>
      <w:r>
        <w:rPr>
          <w:rFonts w:hint="eastAsia" w:ascii="Times New Roman" w:hAnsi="Times New Roman" w:cs="仿宋"/>
          <w:color w:val="auto"/>
          <w:sz w:val="24"/>
          <w:szCs w:val="24"/>
          <w:highlight w:val="none"/>
        </w:rPr>
        <w:t>采购项目</w:t>
      </w:r>
    </w:p>
    <w:p w14:paraId="641A1A5F">
      <w:pPr>
        <w:spacing w:line="480" w:lineRule="exact"/>
        <w:ind w:firstLine="480" w:firstLineChars="200"/>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3.预算金额：</w:t>
      </w:r>
      <w:r>
        <w:rPr>
          <w:rFonts w:hint="eastAsia" w:ascii="Times New Roman" w:hAnsi="Times New Roman" w:cs="仿宋"/>
          <w:color w:val="auto"/>
          <w:sz w:val="24"/>
          <w:szCs w:val="24"/>
          <w:highlight w:val="none"/>
          <w:lang w:val="en-US" w:eastAsia="zh-CN"/>
        </w:rPr>
        <w:t>171</w:t>
      </w:r>
      <w:r>
        <w:rPr>
          <w:rFonts w:hint="eastAsia" w:ascii="Times New Roman" w:hAnsi="Times New Roman" w:cs="仿宋"/>
          <w:color w:val="auto"/>
          <w:sz w:val="24"/>
          <w:szCs w:val="24"/>
          <w:highlight w:val="none"/>
        </w:rPr>
        <w:t>万元</w:t>
      </w:r>
    </w:p>
    <w:p w14:paraId="5872ADBD">
      <w:pPr>
        <w:spacing w:line="480" w:lineRule="exact"/>
        <w:ind w:firstLine="480" w:firstLineChars="200"/>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4.本项目设定最高限价，最高限价为：</w:t>
      </w:r>
      <w:bookmarkStart w:id="10" w:name="EB6c1f3d39c6914ae1bada8ccaa777b37a"/>
      <w:r>
        <w:rPr>
          <w:rFonts w:hint="eastAsia" w:ascii="Times New Roman" w:hAnsi="Times New Roman" w:cs="仿宋"/>
          <w:color w:val="auto"/>
          <w:sz w:val="24"/>
          <w:szCs w:val="24"/>
          <w:highlight w:val="none"/>
          <w:lang w:val="en-US" w:eastAsia="zh-CN"/>
        </w:rPr>
        <w:t>171</w:t>
      </w:r>
      <w:r>
        <w:rPr>
          <w:rFonts w:hint="eastAsia" w:ascii="Times New Roman" w:hAnsi="Times New Roman" w:cs="仿宋"/>
          <w:color w:val="auto"/>
          <w:sz w:val="24"/>
          <w:szCs w:val="24"/>
          <w:highlight w:val="none"/>
        </w:rPr>
        <w:t>万元</w:t>
      </w:r>
    </w:p>
    <w:bookmarkEnd w:id="10"/>
    <w:p w14:paraId="218D1FD3">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5.采购需求（简介）：</w:t>
      </w:r>
      <w:r>
        <w:rPr>
          <w:rFonts w:hint="default" w:ascii="Times New Roman" w:hAnsi="Times New Roman" w:cs="仿宋"/>
          <w:color w:val="auto"/>
          <w:sz w:val="24"/>
          <w:szCs w:val="24"/>
          <w:highlight w:val="none"/>
        </w:rPr>
        <w:t>对沭阳县</w:t>
      </w:r>
      <w:r>
        <w:rPr>
          <w:rFonts w:hint="eastAsia" w:ascii="Times New Roman" w:hAnsi="Times New Roman" w:cs="仿宋"/>
          <w:color w:val="auto"/>
          <w:sz w:val="24"/>
          <w:szCs w:val="24"/>
          <w:highlight w:val="none"/>
          <w:lang w:eastAsia="zh-CN"/>
        </w:rPr>
        <w:t>章集街道</w:t>
      </w:r>
      <w:r>
        <w:rPr>
          <w:rFonts w:hint="eastAsia" w:ascii="Times New Roman" w:hAnsi="Times New Roman" w:cs="仿宋"/>
          <w:color w:val="auto"/>
          <w:sz w:val="24"/>
          <w:szCs w:val="24"/>
          <w:highlight w:val="none"/>
          <w:lang w:val="en-US" w:eastAsia="zh-CN"/>
        </w:rPr>
        <w:t>区域内所有水泥路两侧范围（含道路）、街区、工业园区、小区、公厕进行日常保洁，以及承包范围的所有维修，绿化养护等</w:t>
      </w:r>
      <w:r>
        <w:rPr>
          <w:rFonts w:hint="default" w:ascii="Times New Roman" w:hAnsi="Times New Roman" w:cs="仿宋"/>
          <w:color w:val="auto"/>
          <w:sz w:val="24"/>
          <w:szCs w:val="24"/>
          <w:highlight w:val="none"/>
        </w:rPr>
        <w:t>。（详细内容见本磋商文件第四章）</w:t>
      </w:r>
    </w:p>
    <w:p w14:paraId="46D274FB">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6.合同履行期限：</w:t>
      </w:r>
      <w:r>
        <w:rPr>
          <w:rFonts w:ascii="仿宋" w:hAnsi="仿宋" w:eastAsia="仿宋" w:cs="仿宋"/>
          <w:color w:val="000000"/>
          <w:sz w:val="28"/>
        </w:rPr>
        <w:t>1年</w:t>
      </w:r>
      <w:r>
        <w:rPr>
          <w:rFonts w:hint="eastAsia" w:ascii="Times New Roman" w:hAnsi="Times New Roman" w:cs="仿宋"/>
          <w:color w:val="auto"/>
          <w:sz w:val="24"/>
          <w:szCs w:val="24"/>
          <w:highlight w:val="none"/>
        </w:rPr>
        <w:t xml:space="preserve">  </w:t>
      </w:r>
    </w:p>
    <w:p w14:paraId="12DE8A8B">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7.本项目</w:t>
      </w:r>
      <w:r>
        <w:rPr>
          <w:rFonts w:hint="eastAsia" w:ascii="Times New Roman" w:hAnsi="Times New Roman" w:cs="仿宋"/>
          <w:color w:val="auto"/>
          <w:sz w:val="24"/>
          <w:szCs w:val="24"/>
          <w:highlight w:val="none"/>
          <w:u w:val="single"/>
        </w:rPr>
        <w:t xml:space="preserve"> 不接受 </w:t>
      </w:r>
      <w:r>
        <w:rPr>
          <w:rFonts w:hint="eastAsia" w:ascii="Times New Roman" w:hAnsi="Times New Roman" w:cs="仿宋"/>
          <w:color w:val="auto"/>
          <w:sz w:val="24"/>
          <w:szCs w:val="24"/>
          <w:highlight w:val="none"/>
        </w:rPr>
        <w:t>联合体磋商。</w:t>
      </w:r>
    </w:p>
    <w:p w14:paraId="7E75A34D">
      <w:pPr>
        <w:pStyle w:val="3"/>
        <w:spacing w:before="0" w:after="0" w:line="520" w:lineRule="exact"/>
        <w:ind w:firstLine="321" w:firstLineChars="100"/>
        <w:rPr>
          <w:rFonts w:eastAsia="宋体"/>
          <w:b/>
          <w:bCs/>
          <w:color w:val="auto"/>
          <w:sz w:val="32"/>
          <w:highlight w:val="none"/>
        </w:rPr>
      </w:pPr>
      <w:bookmarkStart w:id="11" w:name="_Toc38985264"/>
      <w:bookmarkStart w:id="12" w:name="_Toc28359080"/>
      <w:bookmarkStart w:id="13" w:name="_Toc28359003"/>
      <w:bookmarkStart w:id="14" w:name="_Toc35393791"/>
      <w:bookmarkStart w:id="15" w:name="_Toc35393622"/>
      <w:r>
        <w:rPr>
          <w:rFonts w:hint="eastAsia" w:eastAsia="宋体"/>
          <w:b/>
          <w:bCs/>
          <w:color w:val="auto"/>
          <w:sz w:val="32"/>
          <w:highlight w:val="none"/>
        </w:rPr>
        <w:t>二、申请人的资格要求</w:t>
      </w:r>
      <w:bookmarkEnd w:id="11"/>
      <w:bookmarkEnd w:id="12"/>
      <w:bookmarkEnd w:id="13"/>
      <w:bookmarkEnd w:id="14"/>
      <w:bookmarkEnd w:id="15"/>
    </w:p>
    <w:p w14:paraId="0206B2A5">
      <w:pPr>
        <w:spacing w:line="480" w:lineRule="exact"/>
        <w:ind w:firstLine="482"/>
        <w:rPr>
          <w:rFonts w:ascii="Times New Roman" w:hAnsi="Times New Roman" w:cs="仿宋"/>
          <w:color w:val="auto"/>
          <w:sz w:val="24"/>
          <w:szCs w:val="24"/>
          <w:highlight w:val="none"/>
        </w:rPr>
      </w:pPr>
      <w:bookmarkStart w:id="16" w:name="_Toc35393623"/>
      <w:bookmarkStart w:id="17" w:name="_Toc38985265"/>
      <w:bookmarkStart w:id="18" w:name="_Toc28359081"/>
      <w:bookmarkStart w:id="19" w:name="_Toc35393792"/>
      <w:bookmarkStart w:id="20" w:name="_Toc28359004"/>
      <w:r>
        <w:rPr>
          <w:rFonts w:hint="eastAsia" w:ascii="Times New Roman" w:hAnsi="Times New Roman" w:cs="仿宋"/>
          <w:color w:val="auto"/>
          <w:sz w:val="24"/>
          <w:szCs w:val="24"/>
          <w:highlight w:val="none"/>
        </w:rPr>
        <w:t>（一）通用资格要求</w:t>
      </w:r>
    </w:p>
    <w:p w14:paraId="5600062F">
      <w:pPr>
        <w:spacing w:line="480" w:lineRule="exact"/>
        <w:ind w:firstLine="482"/>
        <w:rPr>
          <w:rFonts w:hint="eastAsia" w:ascii="宋体" w:hAnsi="宋体" w:cs="宋体"/>
          <w:color w:val="auto"/>
          <w:sz w:val="24"/>
          <w:szCs w:val="24"/>
          <w:highlight w:val="none"/>
        </w:rPr>
      </w:pPr>
      <w:r>
        <w:rPr>
          <w:rFonts w:hint="eastAsia" w:ascii="Times New Roman" w:hAnsi="Times New Roman" w:cs="仿宋"/>
          <w:color w:val="auto"/>
          <w:sz w:val="24"/>
          <w:szCs w:val="24"/>
          <w:highlight w:val="none"/>
        </w:rPr>
        <w:t>1.</w:t>
      </w:r>
      <w:r>
        <w:rPr>
          <w:rFonts w:hint="eastAsia" w:ascii="宋体" w:hAnsi="宋体" w:cs="宋体"/>
          <w:color w:val="auto"/>
          <w:sz w:val="24"/>
          <w:szCs w:val="24"/>
          <w:highlight w:val="none"/>
        </w:rPr>
        <w:t>具备《中华人民共和国政府采购法》第二十二条第一款规定的6项条件（按要求提供磋商</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函）。</w:t>
      </w:r>
    </w:p>
    <w:p w14:paraId="59FA134A">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w:t>
      </w:r>
      <w:r>
        <w:rPr>
          <w:rFonts w:hint="eastAsia" w:ascii="宋体" w:hAnsi="宋体" w:cs="宋体"/>
          <w:color w:val="auto"/>
          <w:sz w:val="24"/>
          <w:szCs w:val="24"/>
          <w:highlight w:val="none"/>
        </w:rPr>
        <w:t>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69C2E309">
      <w:pPr>
        <w:pStyle w:val="685"/>
        <w:tabs>
          <w:tab w:val="left" w:pos="312"/>
        </w:tabs>
        <w:spacing w:after="0" w:line="480" w:lineRule="exact"/>
        <w:ind w:firstLine="480" w:firstLineChars="200"/>
        <w:rPr>
          <w:rFonts w:hint="eastAsia" w:eastAsia="宋体" w:cs="仿宋"/>
          <w:color w:val="auto"/>
          <w:highlight w:val="none"/>
        </w:rPr>
      </w:pPr>
      <w:r>
        <w:rPr>
          <w:rFonts w:hint="eastAsia" w:eastAsia="宋体" w:cs="仿宋"/>
          <w:color w:val="auto"/>
          <w:highlight w:val="none"/>
        </w:rPr>
        <w:t>3.落实政府采购政策需满足的资格要求：本项目为专门面向中小企业采购的项目（按要求提供中小企业声明函或残疾人福利性单位声明函或监狱企业证明文件）。</w:t>
      </w:r>
    </w:p>
    <w:p w14:paraId="748CB259">
      <w:pPr>
        <w:spacing w:line="480" w:lineRule="exact"/>
        <w:ind w:firstLine="482"/>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（二）本项目的特定资格要求：无。</w:t>
      </w:r>
    </w:p>
    <w:p w14:paraId="54A2F79E">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三、获取磋商文件</w:t>
      </w:r>
      <w:bookmarkEnd w:id="16"/>
      <w:bookmarkEnd w:id="17"/>
      <w:bookmarkEnd w:id="18"/>
      <w:bookmarkEnd w:id="19"/>
      <w:bookmarkEnd w:id="20"/>
    </w:p>
    <w:p w14:paraId="0B0248D6">
      <w:pPr>
        <w:spacing w:line="480" w:lineRule="exact"/>
        <w:ind w:firstLine="482"/>
        <w:rPr>
          <w:rFonts w:ascii="Times New Roman" w:hAnsi="Times New Roman" w:cs="仿宋"/>
          <w:color w:val="auto"/>
          <w:sz w:val="24"/>
          <w:szCs w:val="24"/>
          <w:highlight w:val="none"/>
        </w:rPr>
      </w:pPr>
      <w:bookmarkStart w:id="21" w:name="_Toc35393624"/>
      <w:bookmarkStart w:id="22" w:name="_Toc35393793"/>
      <w:bookmarkStart w:id="23" w:name="_Toc28359082"/>
      <w:bookmarkStart w:id="24" w:name="_Toc28359005"/>
      <w:bookmarkStart w:id="25" w:name="_Toc38985266"/>
      <w:r>
        <w:rPr>
          <w:rFonts w:hint="eastAsia" w:ascii="Times New Roman" w:hAnsi="Times New Roman" w:cs="仿宋"/>
          <w:color w:val="auto"/>
          <w:sz w:val="24"/>
          <w:szCs w:val="24"/>
          <w:highlight w:val="none"/>
        </w:rPr>
        <w:t>1.时间：</w:t>
      </w:r>
      <w:r>
        <w:rPr>
          <w:rFonts w:hint="eastAsia" w:ascii="宋体" w:hAnsi="宋体" w:cs="宋体"/>
          <w:color w:val="auto"/>
          <w:sz w:val="24"/>
          <w:szCs w:val="24"/>
          <w:highlight w:val="none"/>
        </w:rPr>
        <w:t>自磋商文件公告发布之日起5个工作日。</w:t>
      </w:r>
    </w:p>
    <w:p w14:paraId="71B0E473">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2.方式：供应商应在磋商文件提供的时间内，通过“苏采云”系统（网址： http://jszfcg.jsczt.cn</w:t>
      </w:r>
      <w:r>
        <w:rPr>
          <w:rFonts w:hint="eastAsia" w:ascii="Times New Roman" w:hAnsi="Times New Roman" w:cs="仿宋"/>
          <w:color w:val="auto"/>
          <w:sz w:val="24"/>
          <w:szCs w:val="24"/>
          <w:highlight w:val="none"/>
          <w:lang w:eastAsia="zh-CN"/>
        </w:rPr>
        <w:t>）</w:t>
      </w:r>
      <w:r>
        <w:rPr>
          <w:rFonts w:hint="eastAsia" w:ascii="Times New Roman" w:hAnsi="Times New Roman" w:cs="仿宋"/>
          <w:color w:val="auto"/>
          <w:sz w:val="24"/>
          <w:szCs w:val="24"/>
          <w:highlight w:val="none"/>
        </w:rPr>
        <w:t>，使用CA锁登录系统后，找到本项目获取磋商文件（后缀名为</w:t>
      </w:r>
      <w:r>
        <w:rPr>
          <w:rFonts w:hint="eastAsia" w:ascii="Times New Roman" w:hAnsi="Times New Roman" w:cs="仿宋"/>
          <w:color w:val="auto"/>
          <w:sz w:val="24"/>
          <w:szCs w:val="24"/>
          <w:highlight w:val="none"/>
          <w:lang w:eastAsia="zh-CN"/>
        </w:rPr>
        <w:t>“</w:t>
      </w:r>
      <w:r>
        <w:rPr>
          <w:rFonts w:hint="eastAsia" w:ascii="Times New Roman" w:hAnsi="Times New Roman" w:cs="仿宋"/>
          <w:color w:val="auto"/>
          <w:sz w:val="24"/>
          <w:szCs w:val="24"/>
          <w:highlight w:val="none"/>
        </w:rPr>
        <w:t>kedt”）。</w:t>
      </w:r>
    </w:p>
    <w:p w14:paraId="2A38FE26">
      <w:pPr>
        <w:spacing w:line="480" w:lineRule="exact"/>
        <w:ind w:firstLine="482"/>
        <w:rPr>
          <w:rFonts w:ascii="Times New Roman" w:hAnsi="Times New Roman" w:cs="仿宋"/>
          <w:color w:val="auto"/>
          <w:sz w:val="24"/>
          <w:szCs w:val="24"/>
          <w:highlight w:val="none"/>
        </w:rPr>
      </w:pPr>
      <w:bookmarkStart w:id="26" w:name="EB0c44ff4da61f4af989d119fe214be450"/>
      <w:r>
        <w:rPr>
          <w:rFonts w:hint="eastAsia" w:ascii="Times New Roman" w:hAnsi="Times New Roman" w:cs="仿宋"/>
          <w:color w:val="auto"/>
          <w:sz w:val="24"/>
          <w:szCs w:val="24"/>
          <w:highlight w:val="none"/>
        </w:rPr>
        <w:t>3.本项目共分一个采购包。供应商参与多个采购包磋商的，应按采购包分别获取磋商文件。供应商未按要求获取磋商文件的，后果自负（其响应文件不予接受）。</w:t>
      </w:r>
      <w:bookmarkEnd w:id="21"/>
      <w:bookmarkEnd w:id="22"/>
      <w:bookmarkEnd w:id="23"/>
      <w:bookmarkEnd w:id="24"/>
      <w:bookmarkEnd w:id="25"/>
      <w:bookmarkEnd w:id="26"/>
    </w:p>
    <w:p w14:paraId="677AC0B5">
      <w:pPr>
        <w:pStyle w:val="3"/>
        <w:spacing w:before="0" w:after="0" w:line="520" w:lineRule="exact"/>
        <w:ind w:firstLine="321" w:firstLineChars="100"/>
        <w:rPr>
          <w:rFonts w:eastAsia="宋体"/>
          <w:b/>
          <w:bCs/>
          <w:color w:val="auto"/>
          <w:sz w:val="32"/>
          <w:highlight w:val="none"/>
        </w:rPr>
      </w:pPr>
      <w:bookmarkStart w:id="27" w:name="_Toc35393794"/>
      <w:bookmarkStart w:id="28" w:name="_Toc38985267"/>
      <w:bookmarkStart w:id="29" w:name="_Toc28359007"/>
      <w:bookmarkStart w:id="30" w:name="_Toc28359084"/>
      <w:bookmarkStart w:id="31" w:name="_Toc35393625"/>
      <w:r>
        <w:rPr>
          <w:rFonts w:hint="eastAsia" w:eastAsia="宋体"/>
          <w:b/>
          <w:bCs/>
          <w:color w:val="auto"/>
          <w:sz w:val="32"/>
          <w:highlight w:val="none"/>
        </w:rPr>
        <w:t>四、提交响应文件截止时间、磋商时间及地点</w:t>
      </w:r>
    </w:p>
    <w:p w14:paraId="6B3FD5D7">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 提交响应文件截止时间、磋商时间：2025年</w:t>
      </w:r>
      <w:r>
        <w:rPr>
          <w:rFonts w:hint="eastAsia" w:ascii="Times New Roman" w:hAnsi="Times New Roman" w:cs="仿宋"/>
          <w:color w:val="auto"/>
          <w:sz w:val="24"/>
          <w:szCs w:val="24"/>
          <w:highlight w:val="yellow"/>
          <w:u w:val="single"/>
          <w:lang w:val="en-US" w:eastAsia="zh-CN"/>
        </w:rPr>
        <w:t xml:space="preserve">  </w:t>
      </w:r>
      <w:r>
        <w:rPr>
          <w:rFonts w:hint="eastAsia" w:ascii="Times New Roman" w:hAnsi="Times New Roman" w:cs="仿宋"/>
          <w:color w:val="auto"/>
          <w:sz w:val="24"/>
          <w:szCs w:val="24"/>
          <w:highlight w:val="none"/>
        </w:rPr>
        <w:t>月</w:t>
      </w:r>
      <w:r>
        <w:rPr>
          <w:rFonts w:hint="eastAsia" w:ascii="Times New Roman" w:hAnsi="Times New Roman" w:cs="仿宋"/>
          <w:color w:val="auto"/>
          <w:sz w:val="24"/>
          <w:szCs w:val="24"/>
          <w:highlight w:val="yellow"/>
          <w:u w:val="single"/>
          <w:lang w:val="en-US" w:eastAsia="zh-CN"/>
        </w:rPr>
        <w:t xml:space="preserve">  </w:t>
      </w:r>
      <w:r>
        <w:rPr>
          <w:rFonts w:hint="eastAsia" w:ascii="Times New Roman" w:hAnsi="Times New Roman" w:cs="仿宋"/>
          <w:color w:val="auto"/>
          <w:sz w:val="24"/>
          <w:szCs w:val="24"/>
          <w:highlight w:val="none"/>
        </w:rPr>
        <w:t>日09点30分（北京时间）。</w:t>
      </w:r>
    </w:p>
    <w:p w14:paraId="0AFB7D23">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 地点：“苏采云”政府采购交易系统网上开标大厅。</w:t>
      </w:r>
    </w:p>
    <w:p w14:paraId="6CFC6E12">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五、公告期限</w:t>
      </w:r>
      <w:bookmarkEnd w:id="27"/>
      <w:bookmarkEnd w:id="28"/>
      <w:bookmarkEnd w:id="29"/>
      <w:bookmarkEnd w:id="30"/>
      <w:bookmarkEnd w:id="31"/>
    </w:p>
    <w:p w14:paraId="2B1797E2">
      <w:pPr>
        <w:spacing w:line="480" w:lineRule="exact"/>
        <w:ind w:firstLine="482"/>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lang w:val="en"/>
        </w:rPr>
        <w:t>自本公告发布之日起3个工作日。</w:t>
      </w:r>
    </w:p>
    <w:p w14:paraId="432A8FF2">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六、其他补充事宜</w:t>
      </w:r>
    </w:p>
    <w:p w14:paraId="52E0FE65">
      <w:pPr>
        <w:spacing w:line="480" w:lineRule="exact"/>
        <w:ind w:firstLine="480" w:firstLineChars="200"/>
        <w:rPr>
          <w:rFonts w:ascii="Times New Roman" w:hAnsi="Times New Roman" w:cs="仿宋"/>
          <w:color w:val="auto"/>
          <w:sz w:val="24"/>
          <w:szCs w:val="24"/>
          <w:highlight w:val="none"/>
        </w:rPr>
      </w:pPr>
      <w:bookmarkStart w:id="32" w:name="EB64e1f522fd8c43fcb4d3ba471386b3e7"/>
      <w:bookmarkStart w:id="33" w:name="_Toc35393627"/>
      <w:bookmarkStart w:id="34" w:name="_Toc35393796"/>
      <w:bookmarkStart w:id="35" w:name="_Toc28359085"/>
      <w:bookmarkStart w:id="36" w:name="_Toc28359008"/>
      <w:bookmarkStart w:id="37" w:name="_Toc38985269"/>
      <w:r>
        <w:rPr>
          <w:rFonts w:hint="eastAsia" w:ascii="Times New Roman" w:hAnsi="Times New Roman" w:cs="仿宋"/>
          <w:color w:val="auto"/>
          <w:sz w:val="24"/>
          <w:szCs w:val="24"/>
          <w:highlight w:val="none"/>
        </w:rPr>
        <w:t>1. 磋商公告发布媒体：江苏政府采购网、宿迁市政府采购网等。</w:t>
      </w:r>
    </w:p>
    <w:p w14:paraId="1C8C4D79">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 “CA”数字证书办理：“苏采云”系统目前仅支持“苏采云”系统下的意源CA。省内各地区办理的“苏采云”系统下的意源CA全省通用。宿迁地区CA数字证书办理联系方式：18762803891。</w:t>
      </w:r>
    </w:p>
    <w:p w14:paraId="4D84DA32">
      <w:pPr>
        <w:spacing w:line="48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3. 宿迁地区“苏采云”系统技术支持客服电话：0527-84225125、0519-86722806。</w:t>
      </w:r>
    </w:p>
    <w:bookmarkEnd w:id="32"/>
    <w:p w14:paraId="7CB395B0">
      <w:pPr>
        <w:spacing w:line="480" w:lineRule="exact"/>
        <w:ind w:firstLine="480" w:firstLineChars="200"/>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4. 质疑渠道：供应商登录“苏采云”系统“项目质疑申请”模块向采购人提出，质疑处理联系方式详见“采购人信息”；财政部门投诉受理电话：0527-83559270。</w:t>
      </w:r>
    </w:p>
    <w:p w14:paraId="108285DD">
      <w:pPr>
        <w:pStyle w:val="3"/>
        <w:spacing w:before="0" w:after="0" w:line="520" w:lineRule="exact"/>
        <w:ind w:firstLine="321" w:firstLineChars="100"/>
        <w:rPr>
          <w:rFonts w:eastAsia="宋体"/>
          <w:b/>
          <w:bCs/>
          <w:color w:val="auto"/>
          <w:sz w:val="32"/>
          <w:highlight w:val="none"/>
        </w:rPr>
      </w:pPr>
      <w:r>
        <w:rPr>
          <w:rFonts w:hint="eastAsia" w:eastAsia="宋体"/>
          <w:b/>
          <w:bCs/>
          <w:color w:val="auto"/>
          <w:sz w:val="32"/>
          <w:highlight w:val="none"/>
        </w:rPr>
        <w:t>七、本次磋商联系方式</w:t>
      </w:r>
      <w:bookmarkEnd w:id="33"/>
      <w:bookmarkEnd w:id="34"/>
      <w:bookmarkEnd w:id="35"/>
      <w:bookmarkEnd w:id="36"/>
      <w:bookmarkEnd w:id="37"/>
    </w:p>
    <w:p w14:paraId="232CAD37">
      <w:pPr>
        <w:spacing w:line="480" w:lineRule="exact"/>
        <w:ind w:firstLine="480" w:firstLineChars="200"/>
        <w:rPr>
          <w:rFonts w:hint="default" w:ascii="Times New Roman" w:hAnsi="Times New Roman" w:cs="仿宋"/>
          <w:color w:val="auto"/>
          <w:sz w:val="24"/>
          <w:szCs w:val="24"/>
          <w:highlight w:val="none"/>
        </w:rPr>
      </w:pPr>
      <w:r>
        <w:rPr>
          <w:rFonts w:hint="default" w:ascii="Times New Roman" w:hAnsi="Times New Roman" w:cs="仿宋"/>
          <w:color w:val="auto"/>
          <w:sz w:val="24"/>
          <w:szCs w:val="24"/>
          <w:highlight w:val="none"/>
        </w:rPr>
        <w:t>1.采购人信息</w:t>
      </w:r>
    </w:p>
    <w:p w14:paraId="5F34C5FE">
      <w:pPr>
        <w:spacing w:line="480" w:lineRule="exact"/>
        <w:ind w:firstLine="480" w:firstLineChars="200"/>
        <w:rPr>
          <w:rFonts w:hint="eastAsia" w:ascii="Times New Roman" w:hAnsi="Times New Roman" w:cs="仿宋"/>
          <w:color w:val="auto"/>
          <w:sz w:val="24"/>
          <w:szCs w:val="24"/>
          <w:highlight w:val="none"/>
          <w:lang w:eastAsia="zh-CN"/>
        </w:rPr>
      </w:pPr>
      <w:r>
        <w:rPr>
          <w:rFonts w:hint="default" w:ascii="Times New Roman" w:hAnsi="Times New Roman" w:cs="仿宋"/>
          <w:color w:val="auto"/>
          <w:sz w:val="24"/>
          <w:szCs w:val="24"/>
          <w:highlight w:val="none"/>
        </w:rPr>
        <w:t>单位名称：</w:t>
      </w:r>
      <w:r>
        <w:rPr>
          <w:rFonts w:hint="eastAsia" w:ascii="Times New Roman" w:hAnsi="Times New Roman" w:cs="仿宋"/>
          <w:color w:val="auto"/>
          <w:sz w:val="24"/>
          <w:szCs w:val="24"/>
          <w:highlight w:val="none"/>
          <w:lang w:eastAsia="zh-CN"/>
        </w:rPr>
        <w:t>沭阳县人民政府章集街道办事处</w:t>
      </w:r>
    </w:p>
    <w:p w14:paraId="34913212">
      <w:pPr>
        <w:spacing w:line="480" w:lineRule="exact"/>
        <w:ind w:firstLine="480" w:firstLineChars="200"/>
        <w:rPr>
          <w:rFonts w:hint="eastAsia" w:ascii="Times New Roman" w:hAnsi="Times New Roman" w:cs="仿宋"/>
          <w:color w:val="auto"/>
          <w:sz w:val="24"/>
          <w:szCs w:val="24"/>
          <w:highlight w:val="none"/>
          <w:lang w:eastAsia="zh-CN"/>
        </w:rPr>
      </w:pPr>
      <w:r>
        <w:rPr>
          <w:rFonts w:hint="default" w:ascii="Times New Roman" w:hAnsi="Times New Roman" w:cs="仿宋"/>
          <w:color w:val="auto"/>
          <w:sz w:val="24"/>
          <w:szCs w:val="24"/>
          <w:highlight w:val="none"/>
        </w:rPr>
        <w:t>单位地址：</w:t>
      </w:r>
      <w:r>
        <w:rPr>
          <w:rFonts w:hint="eastAsia" w:ascii="Times New Roman" w:hAnsi="Times New Roman" w:cs="仿宋"/>
          <w:color w:val="auto"/>
          <w:sz w:val="24"/>
          <w:szCs w:val="24"/>
          <w:highlight w:val="none"/>
          <w:lang w:eastAsia="zh-CN"/>
        </w:rPr>
        <w:t>江苏省宿迁市沭阳县沭马路67号</w:t>
      </w:r>
    </w:p>
    <w:p w14:paraId="51D80D13">
      <w:pPr>
        <w:spacing w:line="480" w:lineRule="exact"/>
        <w:ind w:firstLine="480" w:firstLineChars="200"/>
        <w:rPr>
          <w:rFonts w:hint="default" w:ascii="Times New Roman" w:hAnsi="Times New Roman" w:cs="仿宋"/>
          <w:color w:val="auto"/>
          <w:sz w:val="24"/>
          <w:szCs w:val="24"/>
          <w:highlight w:val="none"/>
          <w:lang w:val="en-US" w:eastAsia="zh-CN"/>
        </w:rPr>
      </w:pPr>
      <w:r>
        <w:rPr>
          <w:rFonts w:hint="default" w:ascii="Times New Roman" w:hAnsi="Times New Roman" w:cs="仿宋"/>
          <w:color w:val="auto"/>
          <w:sz w:val="24"/>
          <w:szCs w:val="24"/>
          <w:highlight w:val="none"/>
        </w:rPr>
        <w:t>联系人：</w:t>
      </w:r>
      <w:r>
        <w:rPr>
          <w:rFonts w:hint="eastAsia" w:ascii="Times New Roman" w:hAnsi="Times New Roman" w:cs="仿宋"/>
          <w:color w:val="auto"/>
          <w:sz w:val="24"/>
          <w:szCs w:val="24"/>
          <w:highlight w:val="none"/>
          <w:lang w:val="en-US" w:eastAsia="zh-CN"/>
        </w:rPr>
        <w:t xml:space="preserve"> 宋泽勇</w:t>
      </w:r>
    </w:p>
    <w:p w14:paraId="5C0DC18F">
      <w:pPr>
        <w:spacing w:line="480" w:lineRule="exact"/>
        <w:ind w:firstLine="480" w:firstLineChars="200"/>
        <w:rPr>
          <w:rFonts w:hint="eastAsia" w:ascii="Times New Roman" w:hAnsi="Times New Roman" w:cs="仿宋"/>
          <w:color w:val="auto"/>
          <w:sz w:val="24"/>
          <w:szCs w:val="24"/>
          <w:highlight w:val="none"/>
          <w:lang w:eastAsia="zh-CN"/>
        </w:rPr>
      </w:pPr>
      <w:r>
        <w:rPr>
          <w:rFonts w:hint="default" w:ascii="Times New Roman" w:hAnsi="Times New Roman" w:cs="仿宋"/>
          <w:color w:val="auto"/>
          <w:sz w:val="24"/>
          <w:szCs w:val="24"/>
          <w:highlight w:val="none"/>
        </w:rPr>
        <w:t>联系电话：</w:t>
      </w:r>
      <w:r>
        <w:rPr>
          <w:rFonts w:hint="eastAsia" w:ascii="Times New Roman" w:hAnsi="Times New Roman" w:cs="仿宋"/>
          <w:color w:val="auto"/>
          <w:sz w:val="24"/>
          <w:szCs w:val="24"/>
          <w:highlight w:val="none"/>
          <w:lang w:val="en-US" w:eastAsia="zh-CN"/>
        </w:rPr>
        <w:t>19805238699</w:t>
      </w:r>
    </w:p>
    <w:p w14:paraId="6415D08D">
      <w:pPr>
        <w:spacing w:line="480" w:lineRule="exact"/>
        <w:ind w:firstLine="480" w:firstLineChars="200"/>
        <w:rPr>
          <w:rFonts w:hint="default" w:ascii="Times New Roman" w:hAnsi="Times New Roman" w:cs="仿宋"/>
          <w:color w:val="auto"/>
          <w:sz w:val="24"/>
          <w:szCs w:val="24"/>
          <w:highlight w:val="none"/>
        </w:rPr>
      </w:pPr>
      <w:r>
        <w:rPr>
          <w:rFonts w:hint="default" w:ascii="Times New Roman" w:hAnsi="Times New Roman" w:cs="仿宋"/>
          <w:color w:val="auto"/>
          <w:sz w:val="24"/>
          <w:szCs w:val="24"/>
          <w:highlight w:val="none"/>
        </w:rPr>
        <w:t>2.采购代理机构信息（如有）</w:t>
      </w:r>
    </w:p>
    <w:p w14:paraId="73885114">
      <w:pPr>
        <w:spacing w:line="480" w:lineRule="exact"/>
        <w:ind w:firstLine="480" w:firstLineChars="200"/>
        <w:rPr>
          <w:rFonts w:hint="eastAsia" w:ascii="Times New Roman" w:hAnsi="Times New Roman" w:cs="仿宋"/>
          <w:color w:val="auto"/>
          <w:sz w:val="24"/>
          <w:szCs w:val="24"/>
          <w:highlight w:val="none"/>
          <w:lang w:eastAsia="zh-CN"/>
        </w:rPr>
      </w:pPr>
      <w:r>
        <w:rPr>
          <w:rFonts w:hint="default" w:ascii="Times New Roman" w:hAnsi="Times New Roman" w:cs="仿宋"/>
          <w:color w:val="auto"/>
          <w:sz w:val="24"/>
          <w:szCs w:val="24"/>
          <w:highlight w:val="none"/>
        </w:rPr>
        <w:t>单位名称：</w:t>
      </w:r>
      <w:r>
        <w:rPr>
          <w:rFonts w:hint="eastAsia" w:ascii="Times New Roman" w:hAnsi="Times New Roman" w:cs="仿宋"/>
          <w:color w:val="auto"/>
          <w:sz w:val="24"/>
          <w:szCs w:val="24"/>
          <w:highlight w:val="none"/>
          <w:lang w:eastAsia="zh-CN"/>
        </w:rPr>
        <w:t>江苏中亿华建设项目管理有限公司</w:t>
      </w:r>
    </w:p>
    <w:p w14:paraId="37159C4E">
      <w:pPr>
        <w:spacing w:line="480" w:lineRule="exact"/>
        <w:ind w:firstLine="480" w:firstLineChars="200"/>
        <w:rPr>
          <w:rFonts w:hint="default" w:ascii="Times New Roman" w:hAnsi="Times New Roman" w:cs="仿宋"/>
          <w:color w:val="auto"/>
          <w:sz w:val="24"/>
          <w:szCs w:val="24"/>
          <w:highlight w:val="none"/>
        </w:rPr>
      </w:pPr>
      <w:r>
        <w:rPr>
          <w:rFonts w:hint="default" w:ascii="Times New Roman" w:hAnsi="Times New Roman" w:cs="仿宋"/>
          <w:color w:val="auto"/>
          <w:sz w:val="24"/>
          <w:szCs w:val="24"/>
          <w:highlight w:val="none"/>
        </w:rPr>
        <w:t>单位地址：沭阳县常州路2号7楼</w:t>
      </w:r>
    </w:p>
    <w:p w14:paraId="46E01B14">
      <w:pPr>
        <w:spacing w:line="480" w:lineRule="exact"/>
        <w:ind w:firstLine="480" w:firstLineChars="200"/>
        <w:rPr>
          <w:rFonts w:hint="eastAsia" w:ascii="Times New Roman" w:hAnsi="Times New Roman" w:cs="仿宋"/>
          <w:color w:val="auto"/>
          <w:sz w:val="24"/>
          <w:szCs w:val="24"/>
          <w:highlight w:val="none"/>
          <w:lang w:eastAsia="zh-CN"/>
        </w:rPr>
      </w:pPr>
      <w:r>
        <w:rPr>
          <w:rFonts w:hint="default" w:ascii="Times New Roman" w:hAnsi="Times New Roman" w:cs="仿宋"/>
          <w:color w:val="auto"/>
          <w:sz w:val="24"/>
          <w:szCs w:val="24"/>
          <w:highlight w:val="none"/>
        </w:rPr>
        <w:t>联系人：</w:t>
      </w:r>
      <w:r>
        <w:rPr>
          <w:rFonts w:hint="eastAsia" w:ascii="Times New Roman" w:hAnsi="Times New Roman" w:cs="仿宋"/>
          <w:color w:val="auto"/>
          <w:sz w:val="24"/>
          <w:szCs w:val="24"/>
          <w:highlight w:val="none"/>
          <w:lang w:eastAsia="zh-CN"/>
        </w:rPr>
        <w:t>蔡震</w:t>
      </w:r>
    </w:p>
    <w:p w14:paraId="167CC877">
      <w:pPr>
        <w:spacing w:line="480" w:lineRule="exact"/>
        <w:ind w:firstLine="480" w:firstLineChars="200"/>
        <w:rPr>
          <w:rFonts w:hint="eastAsia" w:ascii="Times New Roman" w:hAnsi="Times New Roman" w:cs="仿宋"/>
          <w:color w:val="auto"/>
          <w:sz w:val="24"/>
          <w:szCs w:val="24"/>
          <w:highlight w:val="none"/>
          <w:lang w:eastAsia="zh-CN"/>
        </w:rPr>
      </w:pPr>
      <w:r>
        <w:rPr>
          <w:rFonts w:hint="default" w:ascii="Times New Roman" w:hAnsi="Times New Roman" w:cs="仿宋"/>
          <w:color w:val="auto"/>
          <w:sz w:val="24"/>
          <w:szCs w:val="24"/>
          <w:highlight w:val="none"/>
        </w:rPr>
        <w:t>联系电话：</w:t>
      </w:r>
      <w:r>
        <w:rPr>
          <w:rFonts w:hint="eastAsia" w:ascii="Times New Roman" w:hAnsi="Times New Roman" w:cs="仿宋"/>
          <w:color w:val="auto"/>
          <w:sz w:val="24"/>
          <w:szCs w:val="24"/>
          <w:highlight w:val="none"/>
          <w:lang w:eastAsia="zh-CN"/>
        </w:rPr>
        <w:t>15358356055</w:t>
      </w:r>
    </w:p>
    <w:p w14:paraId="15AC82CA">
      <w:pPr>
        <w:spacing w:line="480" w:lineRule="exact"/>
        <w:ind w:firstLine="482"/>
        <w:rPr>
          <w:rFonts w:ascii="Times New Roman" w:hAnsi="Times New Roman" w:cs="仿宋"/>
          <w:color w:val="auto"/>
          <w:sz w:val="24"/>
          <w:szCs w:val="24"/>
          <w:highlight w:val="none"/>
        </w:rPr>
      </w:pPr>
    </w:p>
    <w:p w14:paraId="6420B0ED">
      <w:pPr>
        <w:spacing w:line="480" w:lineRule="exact"/>
        <w:ind w:firstLine="482"/>
        <w:rPr>
          <w:rFonts w:ascii="Times New Roman" w:hAnsi="Times New Roman" w:cs="仿宋"/>
          <w:color w:val="auto"/>
          <w:sz w:val="24"/>
          <w:szCs w:val="24"/>
          <w:highlight w:val="none"/>
        </w:rPr>
      </w:pPr>
    </w:p>
    <w:p w14:paraId="553052F5">
      <w:pPr>
        <w:spacing w:line="480" w:lineRule="exact"/>
        <w:ind w:firstLine="482"/>
        <w:rPr>
          <w:rFonts w:ascii="Times New Roman" w:hAnsi="Times New Roman" w:cs="仿宋"/>
          <w:color w:val="auto"/>
          <w:sz w:val="24"/>
          <w:szCs w:val="24"/>
          <w:highlight w:val="none"/>
        </w:rPr>
      </w:pPr>
    </w:p>
    <w:p w14:paraId="39EB5932">
      <w:pPr>
        <w:spacing w:line="480" w:lineRule="exact"/>
        <w:ind w:firstLine="482"/>
        <w:rPr>
          <w:rFonts w:ascii="Times New Roman" w:hAnsi="Times New Roman" w:cs="仿宋"/>
          <w:color w:val="auto"/>
          <w:sz w:val="24"/>
          <w:szCs w:val="24"/>
          <w:highlight w:val="none"/>
        </w:rPr>
      </w:pPr>
    </w:p>
    <w:p w14:paraId="14C9A4FD">
      <w:pPr>
        <w:spacing w:line="480" w:lineRule="exact"/>
        <w:ind w:firstLine="482"/>
        <w:rPr>
          <w:rFonts w:ascii="Times New Roman" w:hAnsi="Times New Roman" w:cs="仿宋"/>
          <w:color w:val="auto"/>
          <w:sz w:val="24"/>
          <w:szCs w:val="24"/>
          <w:highlight w:val="none"/>
        </w:rPr>
      </w:pPr>
    </w:p>
    <w:p w14:paraId="16CB3EE0">
      <w:pPr>
        <w:spacing w:line="480" w:lineRule="exact"/>
        <w:ind w:firstLine="482"/>
        <w:rPr>
          <w:rFonts w:ascii="Times New Roman" w:hAnsi="Times New Roman" w:cs="仿宋"/>
          <w:color w:val="auto"/>
          <w:sz w:val="24"/>
          <w:szCs w:val="24"/>
          <w:highlight w:val="none"/>
        </w:rPr>
      </w:pPr>
    </w:p>
    <w:p w14:paraId="0E37DD5D">
      <w:pPr>
        <w:spacing w:line="480" w:lineRule="exact"/>
        <w:ind w:firstLine="482"/>
        <w:rPr>
          <w:rFonts w:ascii="Times New Roman" w:hAnsi="Times New Roman" w:cs="仿宋"/>
          <w:color w:val="auto"/>
          <w:sz w:val="24"/>
          <w:szCs w:val="24"/>
          <w:highlight w:val="none"/>
        </w:rPr>
      </w:pPr>
    </w:p>
    <w:p w14:paraId="1033DEED">
      <w:pPr>
        <w:spacing w:line="480" w:lineRule="exact"/>
        <w:ind w:firstLine="482"/>
        <w:rPr>
          <w:rFonts w:ascii="Times New Roman" w:hAnsi="Times New Roman" w:cs="仿宋"/>
          <w:color w:val="auto"/>
          <w:sz w:val="24"/>
          <w:szCs w:val="24"/>
          <w:highlight w:val="none"/>
        </w:rPr>
      </w:pPr>
    </w:p>
    <w:p w14:paraId="30FBEF08">
      <w:pPr>
        <w:spacing w:line="480" w:lineRule="exact"/>
        <w:ind w:firstLine="482"/>
        <w:rPr>
          <w:rFonts w:ascii="Times New Roman" w:hAnsi="Times New Roman" w:cs="仿宋"/>
          <w:color w:val="auto"/>
          <w:sz w:val="24"/>
          <w:szCs w:val="24"/>
          <w:highlight w:val="none"/>
        </w:rPr>
      </w:pPr>
    </w:p>
    <w:p w14:paraId="4C0DE3F1">
      <w:pPr>
        <w:spacing w:line="480" w:lineRule="exact"/>
        <w:ind w:firstLine="482"/>
        <w:rPr>
          <w:rFonts w:ascii="Times New Roman" w:hAnsi="Times New Roman" w:cs="仿宋"/>
          <w:color w:val="auto"/>
          <w:sz w:val="24"/>
          <w:szCs w:val="24"/>
          <w:highlight w:val="none"/>
        </w:rPr>
      </w:pPr>
    </w:p>
    <w:p w14:paraId="4BEE6CD1">
      <w:pPr>
        <w:spacing w:line="480" w:lineRule="exact"/>
        <w:ind w:firstLine="482"/>
        <w:rPr>
          <w:rFonts w:ascii="Times New Roman" w:hAnsi="Times New Roman" w:cs="仿宋"/>
          <w:color w:val="auto"/>
          <w:sz w:val="24"/>
          <w:szCs w:val="24"/>
          <w:highlight w:val="none"/>
        </w:rPr>
      </w:pPr>
    </w:p>
    <w:p w14:paraId="14D166B8">
      <w:pPr>
        <w:spacing w:line="480" w:lineRule="exact"/>
        <w:ind w:firstLine="482"/>
        <w:rPr>
          <w:rFonts w:ascii="Times New Roman" w:hAnsi="Times New Roman" w:cs="仿宋"/>
          <w:color w:val="auto"/>
          <w:sz w:val="24"/>
          <w:szCs w:val="24"/>
          <w:highlight w:val="none"/>
        </w:rPr>
      </w:pPr>
    </w:p>
    <w:p w14:paraId="405E5DB0">
      <w:pPr>
        <w:pStyle w:val="2"/>
        <w:spacing w:before="200"/>
        <w:jc w:val="center"/>
        <w:rPr>
          <w:rFonts w:ascii="Times New Roman" w:hAnsi="Times New Roman" w:eastAsia="黑体"/>
          <w:color w:val="auto"/>
          <w:sz w:val="44"/>
          <w:highlight w:val="none"/>
        </w:rPr>
      </w:pPr>
      <w:r>
        <w:rPr>
          <w:rFonts w:hint="eastAsia" w:ascii="Times New Roman" w:hAnsi="Times New Roman" w:eastAsia="黑体"/>
          <w:color w:val="auto"/>
          <w:sz w:val="44"/>
          <w:highlight w:val="none"/>
        </w:rPr>
        <w:br w:type="page" w:clear="all"/>
      </w:r>
      <w:bookmarkStart w:id="38" w:name="_Toc706"/>
      <w:bookmarkStart w:id="39" w:name="_Toc11816"/>
      <w:bookmarkStart w:id="40" w:name="_Toc3297"/>
      <w:r>
        <w:rPr>
          <w:rFonts w:hint="eastAsia" w:ascii="Times New Roman" w:hAnsi="Times New Roman" w:eastAsia="黑体"/>
          <w:color w:val="auto"/>
          <w:sz w:val="44"/>
          <w:highlight w:val="none"/>
        </w:rPr>
        <w:t>第二章  供应商须知</w:t>
      </w:r>
      <w:bookmarkEnd w:id="3"/>
      <w:bookmarkEnd w:id="38"/>
      <w:bookmarkEnd w:id="39"/>
      <w:bookmarkEnd w:id="40"/>
      <w:bookmarkStart w:id="41" w:name="EB154f34bfcea5417199f8cf429c255bfe"/>
      <w:bookmarkEnd w:id="41"/>
      <w:bookmarkStart w:id="42" w:name="EBa8c69c4726824205bbf6fbe49f912e2d"/>
      <w:bookmarkEnd w:id="42"/>
    </w:p>
    <w:p w14:paraId="7F3CEF4B">
      <w:pPr>
        <w:pStyle w:val="3"/>
        <w:spacing w:before="0" w:line="520" w:lineRule="exact"/>
        <w:rPr>
          <w:rFonts w:eastAsia="宋体"/>
          <w:b/>
          <w:bCs/>
          <w:color w:val="auto"/>
          <w:sz w:val="32"/>
          <w:highlight w:val="none"/>
        </w:rPr>
      </w:pPr>
      <w:bookmarkStart w:id="43" w:name="_Toc141869961"/>
      <w:r>
        <w:rPr>
          <w:rFonts w:hint="eastAsia" w:eastAsia="宋体"/>
          <w:b/>
          <w:bCs/>
          <w:color w:val="auto"/>
          <w:sz w:val="32"/>
          <w:highlight w:val="none"/>
        </w:rPr>
        <w:t>供应商须知前附表：</w:t>
      </w:r>
      <w:bookmarkEnd w:id="43"/>
    </w:p>
    <w:tbl>
      <w:tblPr>
        <w:tblStyle w:val="41"/>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984"/>
        <w:gridCol w:w="5975"/>
      </w:tblGrid>
      <w:tr w14:paraId="12D3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5FB4FF97">
            <w:pPr>
              <w:jc w:val="center"/>
              <w:rPr>
                <w:rFonts w:hint="eastAsia" w:ascii="仿宋_GB2312" w:hAnsi="仿宋"/>
                <w:b/>
                <w:color w:val="auto"/>
                <w:sz w:val="24"/>
                <w:szCs w:val="24"/>
                <w:highlight w:val="none"/>
              </w:rPr>
            </w:pPr>
            <w:r>
              <w:rPr>
                <w:rFonts w:hint="eastAsia" w:ascii="仿宋_GB2312" w:hAnsi="仿宋"/>
                <w:b/>
                <w:color w:val="auto"/>
                <w:sz w:val="24"/>
                <w:szCs w:val="24"/>
                <w:highlight w:val="none"/>
              </w:rPr>
              <w:t>序号</w:t>
            </w:r>
          </w:p>
        </w:tc>
        <w:tc>
          <w:tcPr>
            <w:tcW w:w="1984" w:type="dxa"/>
            <w:vAlign w:val="center"/>
          </w:tcPr>
          <w:p w14:paraId="3DBE1AB3">
            <w:pPr>
              <w:jc w:val="center"/>
              <w:rPr>
                <w:rFonts w:hint="eastAsia" w:ascii="仿宋_GB2312" w:hAnsi="仿宋"/>
                <w:b/>
                <w:color w:val="auto"/>
                <w:sz w:val="24"/>
                <w:szCs w:val="24"/>
                <w:highlight w:val="none"/>
              </w:rPr>
            </w:pPr>
            <w:r>
              <w:rPr>
                <w:rFonts w:hint="eastAsia" w:ascii="仿宋_GB2312" w:hAnsi="仿宋"/>
                <w:b/>
                <w:color w:val="auto"/>
                <w:sz w:val="24"/>
                <w:szCs w:val="24"/>
                <w:highlight w:val="none"/>
              </w:rPr>
              <w:t>内容</w:t>
            </w:r>
          </w:p>
        </w:tc>
        <w:tc>
          <w:tcPr>
            <w:tcW w:w="5975" w:type="dxa"/>
            <w:vAlign w:val="center"/>
          </w:tcPr>
          <w:p w14:paraId="41130C82">
            <w:pPr>
              <w:jc w:val="center"/>
              <w:rPr>
                <w:rFonts w:hint="eastAsia" w:ascii="仿宋_GB2312" w:hAnsi="仿宋"/>
                <w:b/>
                <w:color w:val="auto"/>
                <w:sz w:val="24"/>
                <w:szCs w:val="24"/>
                <w:highlight w:val="none"/>
              </w:rPr>
            </w:pPr>
            <w:r>
              <w:rPr>
                <w:rFonts w:hint="eastAsia" w:ascii="仿宋_GB2312" w:hAnsi="仿宋"/>
                <w:b/>
                <w:color w:val="auto"/>
                <w:sz w:val="24"/>
                <w:szCs w:val="24"/>
                <w:highlight w:val="none"/>
              </w:rPr>
              <w:t>说明及要求</w:t>
            </w:r>
          </w:p>
        </w:tc>
      </w:tr>
      <w:tr w14:paraId="363F8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5FE057F7">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w:t>
            </w:r>
          </w:p>
        </w:tc>
        <w:tc>
          <w:tcPr>
            <w:tcW w:w="1984" w:type="dxa"/>
            <w:vAlign w:val="center"/>
          </w:tcPr>
          <w:p w14:paraId="3C9B8442">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项目类别</w:t>
            </w:r>
          </w:p>
        </w:tc>
        <w:tc>
          <w:tcPr>
            <w:tcW w:w="5975" w:type="dxa"/>
            <w:vAlign w:val="center"/>
          </w:tcPr>
          <w:p w14:paraId="352DB689">
            <w:pPr>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本项目</w:t>
            </w:r>
            <w:bookmarkStart w:id="44" w:name="EB9a5853ee094f4f0ea6ec3169265f6f2c"/>
            <w:r>
              <w:rPr>
                <w:rFonts w:hint="eastAsia" w:ascii="Times New Roman" w:hAnsi="Times New Roman" w:cs="仿宋"/>
                <w:color w:val="auto"/>
                <w:sz w:val="24"/>
                <w:szCs w:val="24"/>
                <w:highlight w:val="none"/>
              </w:rPr>
              <w:t>属性按以下第</w:t>
            </w:r>
            <w:r>
              <w:rPr>
                <w:rFonts w:hint="eastAsia" w:ascii="Times New Roman" w:hAnsi="Times New Roman" w:cs="仿宋"/>
                <w:b/>
                <w:bCs/>
                <w:color w:val="auto"/>
                <w:sz w:val="24"/>
                <w:highlight w:val="yellow"/>
                <w:u w:val="single"/>
                <w:lang w:val="en-US" w:eastAsia="zh-CN"/>
              </w:rPr>
              <w:t xml:space="preserve"> 2 </w:t>
            </w:r>
            <w:r>
              <w:rPr>
                <w:rFonts w:hint="eastAsia" w:ascii="Times New Roman" w:hAnsi="Times New Roman" w:cs="仿宋"/>
                <w:color w:val="auto"/>
                <w:sz w:val="24"/>
                <w:szCs w:val="24"/>
                <w:highlight w:val="none"/>
              </w:rPr>
              <w:t>种确定：</w:t>
            </w:r>
          </w:p>
          <w:p w14:paraId="35C08873">
            <w:pPr>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w:t>
            </w:r>
            <w:bookmarkEnd w:id="44"/>
            <w:r>
              <w:rPr>
                <w:rFonts w:hint="eastAsia" w:ascii="Times New Roman" w:hAnsi="Times New Roman" w:cs="仿宋"/>
                <w:color w:val="auto"/>
                <w:sz w:val="24"/>
                <w:szCs w:val="24"/>
                <w:highlight w:val="none"/>
              </w:rPr>
              <w:t>.货物</w:t>
            </w:r>
            <w:bookmarkStart w:id="45" w:name="EBd5c6c026f9674c39b21b31ecd0c1e7fa"/>
            <w:r>
              <w:rPr>
                <w:rFonts w:hint="eastAsia" w:ascii="Times New Roman" w:hAnsi="Times New Roman" w:cs="仿宋"/>
                <w:color w:val="auto"/>
                <w:sz w:val="24"/>
                <w:szCs w:val="24"/>
                <w:highlight w:val="none"/>
              </w:rPr>
              <w:t>采购；2.</w:t>
            </w:r>
            <w:bookmarkEnd w:id="45"/>
            <w:r>
              <w:rPr>
                <w:rFonts w:hint="eastAsia" w:ascii="Times New Roman" w:hAnsi="Times New Roman" w:cs="仿宋"/>
                <w:color w:val="auto"/>
                <w:sz w:val="24"/>
                <w:szCs w:val="24"/>
                <w:highlight w:val="none"/>
              </w:rPr>
              <w:t>服务</w:t>
            </w:r>
            <w:bookmarkStart w:id="46" w:name="EBf7d2a4f44ecb4166a93ea852e73be69f"/>
            <w:r>
              <w:rPr>
                <w:rFonts w:hint="eastAsia" w:ascii="Times New Roman" w:hAnsi="Times New Roman" w:cs="仿宋"/>
                <w:color w:val="auto"/>
                <w:sz w:val="24"/>
                <w:szCs w:val="24"/>
                <w:highlight w:val="none"/>
              </w:rPr>
              <w:t>采购；3.</w:t>
            </w:r>
            <w:bookmarkEnd w:id="46"/>
            <w:r>
              <w:rPr>
                <w:rFonts w:hint="eastAsia" w:ascii="Times New Roman" w:hAnsi="Times New Roman" w:cs="仿宋"/>
                <w:color w:val="auto"/>
                <w:sz w:val="24"/>
                <w:szCs w:val="24"/>
                <w:highlight w:val="none"/>
              </w:rPr>
              <w:t>工程采购。</w:t>
            </w:r>
          </w:p>
        </w:tc>
      </w:tr>
      <w:tr w14:paraId="35737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3E07B975">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w:t>
            </w:r>
          </w:p>
        </w:tc>
        <w:tc>
          <w:tcPr>
            <w:tcW w:w="1984" w:type="dxa"/>
            <w:vAlign w:val="center"/>
          </w:tcPr>
          <w:p w14:paraId="49629193">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响应有效期</w:t>
            </w:r>
          </w:p>
        </w:tc>
        <w:tc>
          <w:tcPr>
            <w:tcW w:w="5975" w:type="dxa"/>
            <w:vAlign w:val="center"/>
          </w:tcPr>
          <w:p w14:paraId="65778699">
            <w:pPr>
              <w:spacing w:line="360" w:lineRule="exact"/>
              <w:jc w:val="left"/>
              <w:rPr>
                <w:rFonts w:ascii="Times New Roman" w:hAnsi="Times New Roman" w:cs="仿宋"/>
                <w:color w:val="auto"/>
                <w:sz w:val="24"/>
                <w:szCs w:val="24"/>
                <w:highlight w:val="none"/>
              </w:rPr>
            </w:pPr>
            <w:bookmarkStart w:id="47" w:name="EBf2540e281f614ac8b4efc83b6e64d4d2"/>
            <w:r>
              <w:rPr>
                <w:rFonts w:hint="eastAsia" w:ascii="Times New Roman" w:hAnsi="Times New Roman" w:cs="仿宋"/>
                <w:color w:val="auto"/>
                <w:sz w:val="24"/>
                <w:szCs w:val="24"/>
                <w:highlight w:val="none"/>
              </w:rPr>
              <w:t>60</w:t>
            </w:r>
            <w:bookmarkEnd w:id="47"/>
            <w:r>
              <w:rPr>
                <w:rFonts w:hint="eastAsia" w:ascii="Times New Roman" w:hAnsi="Times New Roman" w:cs="仿宋"/>
                <w:color w:val="auto"/>
                <w:sz w:val="24"/>
                <w:szCs w:val="24"/>
                <w:highlight w:val="none"/>
              </w:rPr>
              <w:t>日（从提交响应文件截止之日起算）</w:t>
            </w:r>
          </w:p>
        </w:tc>
      </w:tr>
      <w:tr w14:paraId="2CE58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2AEAD0B5">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3</w:t>
            </w:r>
          </w:p>
        </w:tc>
        <w:tc>
          <w:tcPr>
            <w:tcW w:w="1984" w:type="dxa"/>
            <w:vAlign w:val="center"/>
          </w:tcPr>
          <w:p w14:paraId="0D557E22">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响应文件份数</w:t>
            </w:r>
          </w:p>
        </w:tc>
        <w:tc>
          <w:tcPr>
            <w:tcW w:w="5975" w:type="dxa"/>
            <w:vAlign w:val="center"/>
          </w:tcPr>
          <w:p w14:paraId="23D491AE">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提交加密电子响应文件1份。</w:t>
            </w:r>
          </w:p>
        </w:tc>
      </w:tr>
      <w:tr w14:paraId="31D9D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7C03BC8B">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4</w:t>
            </w:r>
          </w:p>
        </w:tc>
        <w:tc>
          <w:tcPr>
            <w:tcW w:w="1984" w:type="dxa"/>
            <w:vAlign w:val="center"/>
          </w:tcPr>
          <w:p w14:paraId="36651456">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进口产品</w:t>
            </w:r>
          </w:p>
        </w:tc>
        <w:tc>
          <w:tcPr>
            <w:tcW w:w="5975" w:type="dxa"/>
            <w:vAlign w:val="center"/>
          </w:tcPr>
          <w:p w14:paraId="5EC9FA30">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按以下第</w:t>
            </w:r>
            <w:r>
              <w:rPr>
                <w:rFonts w:hint="eastAsia" w:ascii="Times New Roman" w:hAnsi="Times New Roman" w:cs="仿宋"/>
                <w:color w:val="auto"/>
                <w:sz w:val="24"/>
                <w:szCs w:val="24"/>
                <w:highlight w:val="yellow"/>
                <w:u w:val="single"/>
                <w:lang w:val="en-US" w:eastAsia="zh-CN"/>
              </w:rPr>
              <w:t xml:space="preserve"> </w:t>
            </w:r>
            <w:r>
              <w:rPr>
                <w:rFonts w:hint="eastAsia" w:ascii="Times New Roman" w:hAnsi="Times New Roman" w:cs="仿宋"/>
                <w:b/>
                <w:bCs/>
                <w:color w:val="auto"/>
                <w:sz w:val="24"/>
                <w:highlight w:val="yellow"/>
                <w:u w:val="single"/>
              </w:rPr>
              <w:t>2</w:t>
            </w:r>
            <w:r>
              <w:rPr>
                <w:rFonts w:hint="eastAsia" w:ascii="Times New Roman" w:hAnsi="Times New Roman" w:cs="仿宋"/>
                <w:color w:val="auto"/>
                <w:sz w:val="24"/>
                <w:szCs w:val="24"/>
                <w:highlight w:val="none"/>
              </w:rPr>
              <w:t>种方式确定：</w:t>
            </w:r>
          </w:p>
          <w:p w14:paraId="058FE034">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1.接受进口产品。</w:t>
            </w:r>
            <w:bookmarkStart w:id="48" w:name="OLE_LINK8"/>
            <w:r>
              <w:rPr>
                <w:rFonts w:hint="eastAsia" w:ascii="Times New Roman" w:hAnsi="Times New Roman" w:cs="仿宋"/>
                <w:color w:val="auto"/>
                <w:sz w:val="24"/>
                <w:highlight w:val="none"/>
              </w:rPr>
              <w:t>应当符合《政</w:t>
            </w:r>
            <w:bookmarkStart w:id="49" w:name="OLE_LINK1"/>
            <w:r>
              <w:rPr>
                <w:rFonts w:hint="eastAsia" w:ascii="Times New Roman" w:hAnsi="Times New Roman" w:cs="仿宋"/>
                <w:color w:val="auto"/>
                <w:sz w:val="24"/>
                <w:highlight w:val="none"/>
              </w:rPr>
              <w:t>府采购进口产品管理办法</w:t>
            </w:r>
            <w:bookmarkEnd w:id="49"/>
            <w:r>
              <w:rPr>
                <w:rFonts w:hint="eastAsia" w:ascii="Times New Roman" w:hAnsi="Times New Roman" w:cs="仿宋"/>
                <w:color w:val="auto"/>
                <w:sz w:val="24"/>
                <w:highlight w:val="none"/>
              </w:rPr>
              <w:t>》（财库〔2007〕119号）《关于政府采购进口产品管理有关问题的通知》（财办库〔2008〕248号）等相关规定</w:t>
            </w:r>
            <w:r>
              <w:rPr>
                <w:rFonts w:hint="eastAsia" w:ascii="Times New Roman" w:hAnsi="Times New Roman" w:cs="仿宋"/>
                <w:color w:val="auto"/>
                <w:sz w:val="24"/>
                <w:szCs w:val="24"/>
                <w:highlight w:val="none"/>
              </w:rPr>
              <w:t>；</w:t>
            </w:r>
          </w:p>
          <w:bookmarkEnd w:id="48"/>
          <w:p w14:paraId="7B98D96B">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2. 不接受进口产品。</w:t>
            </w:r>
          </w:p>
        </w:tc>
      </w:tr>
      <w:tr w14:paraId="64B59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0D013DE6">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5</w:t>
            </w:r>
          </w:p>
        </w:tc>
        <w:tc>
          <w:tcPr>
            <w:tcW w:w="1984" w:type="dxa"/>
            <w:vAlign w:val="center"/>
          </w:tcPr>
          <w:p w14:paraId="03B0560F">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评审方法</w:t>
            </w:r>
          </w:p>
        </w:tc>
        <w:tc>
          <w:tcPr>
            <w:tcW w:w="5975" w:type="dxa"/>
            <w:vAlign w:val="center"/>
          </w:tcPr>
          <w:p w14:paraId="1EE22517">
            <w:pPr>
              <w:pStyle w:val="266"/>
              <w:spacing w:line="360" w:lineRule="exact"/>
              <w:rPr>
                <w:rFonts w:ascii="Times New Roman" w:hAnsi="Times New Roman" w:cs="仿宋"/>
                <w:color w:val="auto"/>
                <w:sz w:val="24"/>
                <w:highlight w:val="none"/>
              </w:rPr>
            </w:pPr>
            <w:r>
              <w:rPr>
                <w:rFonts w:hint="eastAsia" w:ascii="Times New Roman" w:hAnsi="Times New Roman" w:cs="仿宋"/>
                <w:color w:val="auto"/>
                <w:sz w:val="24"/>
                <w:szCs w:val="24"/>
                <w:highlight w:val="none"/>
              </w:rPr>
              <w:t>综合评分法。具体细则详见磋商文件评审方法和评审标准部分。</w:t>
            </w:r>
          </w:p>
        </w:tc>
      </w:tr>
      <w:tr w14:paraId="4FAA0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25E9953C">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6</w:t>
            </w:r>
          </w:p>
        </w:tc>
        <w:tc>
          <w:tcPr>
            <w:tcW w:w="1984" w:type="dxa"/>
            <w:vAlign w:val="center"/>
          </w:tcPr>
          <w:p w14:paraId="0D0ED832">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确定成交人</w:t>
            </w:r>
          </w:p>
        </w:tc>
        <w:tc>
          <w:tcPr>
            <w:tcW w:w="5975" w:type="dxa"/>
            <w:vAlign w:val="center"/>
          </w:tcPr>
          <w:p w14:paraId="47D7C528">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按以下第</w:t>
            </w:r>
            <w:r>
              <w:rPr>
                <w:rFonts w:hint="eastAsia" w:ascii="Times New Roman" w:hAnsi="Times New Roman" w:cs="仿宋"/>
                <w:b/>
                <w:bCs/>
                <w:color w:val="auto"/>
                <w:sz w:val="24"/>
                <w:highlight w:val="yellow"/>
                <w:u w:val="single"/>
              </w:rPr>
              <w:t xml:space="preserve"> 2 </w:t>
            </w:r>
            <w:r>
              <w:rPr>
                <w:rFonts w:hint="eastAsia" w:ascii="Times New Roman" w:hAnsi="Times New Roman" w:cs="仿宋"/>
                <w:color w:val="auto"/>
                <w:sz w:val="24"/>
                <w:szCs w:val="24"/>
                <w:highlight w:val="none"/>
              </w:rPr>
              <w:t>种方式确定成交人：</w:t>
            </w:r>
          </w:p>
          <w:p w14:paraId="0D88AEE3">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1.采购人按照规定在磋商小组推荐的中标候选人中确定成交人；2.采购人授权磋商小组直接确定成交人；</w:t>
            </w:r>
          </w:p>
        </w:tc>
      </w:tr>
      <w:tr w14:paraId="3EC8F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47FCC6FC">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7</w:t>
            </w:r>
          </w:p>
        </w:tc>
        <w:tc>
          <w:tcPr>
            <w:tcW w:w="1984" w:type="dxa"/>
            <w:vAlign w:val="center"/>
          </w:tcPr>
          <w:p w14:paraId="476A99FF">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分包要求</w:t>
            </w:r>
          </w:p>
        </w:tc>
        <w:tc>
          <w:tcPr>
            <w:tcW w:w="5975" w:type="dxa"/>
            <w:vAlign w:val="center"/>
          </w:tcPr>
          <w:p w14:paraId="5FA2AD6B">
            <w:pPr>
              <w:widowControl/>
              <w:spacing w:line="360" w:lineRule="exact"/>
              <w:jc w:val="left"/>
              <w:rPr>
                <w:rFonts w:ascii="Times New Roman" w:hAnsi="Times New Roman" w:cs="仿宋"/>
                <w:color w:val="auto"/>
                <w:sz w:val="24"/>
                <w:szCs w:val="24"/>
                <w:highlight w:val="none"/>
              </w:rPr>
            </w:pPr>
            <w:bookmarkStart w:id="50" w:name="EBebac1462c5d9459fbda8a75065c2455d"/>
            <w:r>
              <w:rPr>
                <w:rFonts w:hint="eastAsia" w:ascii="Times New Roman" w:hAnsi="Times New Roman" w:cs="仿宋"/>
                <w:color w:val="auto"/>
                <w:sz w:val="24"/>
                <w:szCs w:val="24"/>
                <w:highlight w:val="none"/>
              </w:rPr>
              <w:t>本项目的非主体、非关键性工作是否允许分包按以下第</w:t>
            </w:r>
            <w:r>
              <w:rPr>
                <w:rFonts w:hint="eastAsia" w:ascii="Times New Roman" w:hAnsi="Times New Roman" w:cs="仿宋"/>
                <w:color w:val="auto"/>
                <w:sz w:val="24"/>
                <w:szCs w:val="24"/>
                <w:highlight w:val="yellow"/>
                <w:u w:val="single"/>
                <w:lang w:val="en-US" w:eastAsia="zh-CN"/>
              </w:rPr>
              <w:t xml:space="preserve"> </w:t>
            </w:r>
            <w:r>
              <w:rPr>
                <w:rFonts w:hint="eastAsia" w:ascii="Times New Roman" w:hAnsi="Times New Roman" w:cs="仿宋"/>
                <w:b/>
                <w:bCs/>
                <w:color w:val="auto"/>
                <w:sz w:val="24"/>
                <w:highlight w:val="yellow"/>
                <w:u w:val="single"/>
              </w:rPr>
              <w:t>2</w:t>
            </w:r>
            <w:r>
              <w:rPr>
                <w:rFonts w:hint="eastAsia" w:ascii="Times New Roman" w:hAnsi="Times New Roman" w:cs="仿宋"/>
                <w:color w:val="auto"/>
                <w:sz w:val="24"/>
                <w:szCs w:val="24"/>
                <w:highlight w:val="none"/>
              </w:rPr>
              <w:t>种方式确定：</w:t>
            </w:r>
          </w:p>
          <w:p w14:paraId="7EE3BD48">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w:t>
            </w:r>
            <w:bookmarkEnd w:id="50"/>
            <w:r>
              <w:rPr>
                <w:rFonts w:hint="eastAsia" w:ascii="Times New Roman" w:hAnsi="Times New Roman" w:cs="仿宋"/>
                <w:color w:val="auto"/>
                <w:sz w:val="24"/>
                <w:szCs w:val="24"/>
                <w:highlight w:val="none"/>
              </w:rPr>
              <w:t>允许分包，</w:t>
            </w:r>
            <w:bookmarkStart w:id="51" w:name="EB512ba06683724173802e2aae54a26079"/>
            <w:r>
              <w:rPr>
                <w:rFonts w:hint="eastAsia" w:ascii="Times New Roman" w:hAnsi="Times New Roman" w:cs="仿宋"/>
                <w:color w:val="auto"/>
                <w:sz w:val="24"/>
                <w:szCs w:val="24"/>
                <w:highlight w:val="none"/>
              </w:rPr>
              <w:t>允许大中型企业向一家或者多家小微企业分包，分包具体内容、金额或比例：</w:t>
            </w:r>
            <w:bookmarkEnd w:id="51"/>
            <w:r>
              <w:rPr>
                <w:rFonts w:hint="eastAsia" w:ascii="Times New Roman" w:hAnsi="Times New Roman" w:cs="仿宋"/>
                <w:color w:val="auto"/>
                <w:sz w:val="24"/>
                <w:szCs w:val="24"/>
                <w:highlight w:val="none"/>
              </w:rPr>
              <w:t>无</w:t>
            </w:r>
          </w:p>
          <w:p w14:paraId="01E16414">
            <w:pPr>
              <w:widowControl/>
              <w:spacing w:line="360" w:lineRule="exact"/>
              <w:jc w:val="left"/>
              <w:rPr>
                <w:rFonts w:ascii="Times New Roman" w:hAnsi="Times New Roman" w:cs="仿宋"/>
                <w:color w:val="auto"/>
                <w:sz w:val="24"/>
                <w:highlight w:val="none"/>
              </w:rPr>
            </w:pPr>
            <w:r>
              <w:rPr>
                <w:rFonts w:hint="eastAsia" w:ascii="Times New Roman" w:hAnsi="Times New Roman" w:cs="仿宋"/>
                <w:color w:val="auto"/>
                <w:sz w:val="24"/>
                <w:szCs w:val="24"/>
                <w:highlight w:val="none"/>
              </w:rPr>
              <w:t>2.不允许分包。</w:t>
            </w:r>
          </w:p>
        </w:tc>
      </w:tr>
      <w:tr w14:paraId="03E7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3F8D8A49">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8</w:t>
            </w:r>
          </w:p>
        </w:tc>
        <w:tc>
          <w:tcPr>
            <w:tcW w:w="1984" w:type="dxa"/>
            <w:vAlign w:val="center"/>
          </w:tcPr>
          <w:p w14:paraId="33FEF3ED">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代理费用收取方式及标准</w:t>
            </w:r>
          </w:p>
        </w:tc>
        <w:tc>
          <w:tcPr>
            <w:tcW w:w="5975" w:type="dxa"/>
            <w:vAlign w:val="center"/>
          </w:tcPr>
          <w:p w14:paraId="56E0AA08">
            <w:pPr>
              <w:widowControl/>
              <w:spacing w:line="360" w:lineRule="exact"/>
              <w:jc w:val="left"/>
              <w:rPr>
                <w:rFonts w:ascii="Times New Roman" w:hAnsi="Times New Roman" w:cs="仿宋"/>
                <w:color w:val="auto"/>
                <w:sz w:val="24"/>
                <w:szCs w:val="24"/>
                <w:highlight w:val="none"/>
              </w:rPr>
            </w:pPr>
            <w:bookmarkStart w:id="52" w:name="EB494c0bc35e674ba8ba0c8d892ff35fa5"/>
            <w:r>
              <w:rPr>
                <w:rFonts w:hint="eastAsia" w:ascii="Times New Roman" w:hAnsi="Times New Roman" w:cs="仿宋"/>
                <w:color w:val="auto"/>
                <w:sz w:val="24"/>
                <w:szCs w:val="24"/>
                <w:highlight w:val="none"/>
              </w:rPr>
              <w:t>本项目不收取代理费。</w:t>
            </w:r>
            <w:bookmarkEnd w:id="52"/>
          </w:p>
        </w:tc>
      </w:tr>
      <w:tr w14:paraId="0ABE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101" w:type="dxa"/>
            <w:vAlign w:val="center"/>
          </w:tcPr>
          <w:p w14:paraId="6FBF5DE0">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9</w:t>
            </w:r>
          </w:p>
        </w:tc>
        <w:tc>
          <w:tcPr>
            <w:tcW w:w="1984" w:type="dxa"/>
            <w:vAlign w:val="center"/>
          </w:tcPr>
          <w:p w14:paraId="1B814214">
            <w:pPr>
              <w:spacing w:line="360" w:lineRule="exact"/>
              <w:jc w:val="center"/>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其他</w:t>
            </w:r>
          </w:p>
        </w:tc>
        <w:tc>
          <w:tcPr>
            <w:tcW w:w="5975" w:type="dxa"/>
            <w:shd w:val="clear" w:color="auto" w:fill="auto"/>
            <w:vAlign w:val="center"/>
          </w:tcPr>
          <w:p w14:paraId="48D0BBBA">
            <w:pPr>
              <w:spacing w:line="400" w:lineRule="exact"/>
              <w:jc w:val="left"/>
              <w:rPr>
                <w:rFonts w:hint="eastAsia" w:ascii="Times New Roman" w:hAnsi="Times New Roman" w:eastAsia="宋体" w:cs="仿宋"/>
                <w:color w:val="auto"/>
                <w:sz w:val="24"/>
                <w:szCs w:val="24"/>
                <w:highlight w:val="none"/>
                <w:lang w:val="en-US" w:eastAsia="zh-CN"/>
              </w:rPr>
            </w:pPr>
            <w:r>
              <w:rPr>
                <w:rFonts w:hint="eastAsia" w:ascii="Times New Roman" w:hAnsi="Times New Roman" w:cs="仿宋"/>
                <w:color w:val="auto"/>
                <w:sz w:val="24"/>
                <w:szCs w:val="24"/>
                <w:highlight w:val="none"/>
                <w:lang w:val="en-US" w:eastAsia="zh-CN"/>
              </w:rPr>
              <w:t>无</w:t>
            </w:r>
          </w:p>
        </w:tc>
      </w:tr>
    </w:tbl>
    <w:p w14:paraId="4FF92E2F">
      <w:pPr>
        <w:rPr>
          <w:rFonts w:hint="eastAsia" w:ascii="仿宋" w:hAnsi="仿宋" w:eastAsia="仿宋" w:cs="仿宋"/>
          <w:color w:val="auto"/>
          <w:highlight w:val="none"/>
        </w:rPr>
      </w:pPr>
      <w:bookmarkStart w:id="53" w:name="EBc9d8a0a6c333409599b28034cbc893d2"/>
      <w:bookmarkEnd w:id="53"/>
      <w:bookmarkStart w:id="54" w:name="_Toc141869962"/>
    </w:p>
    <w:p w14:paraId="56C8CDF4">
      <w:pPr>
        <w:rPr>
          <w:rFonts w:hint="eastAsia" w:ascii="仿宋" w:hAnsi="仿宋" w:eastAsia="仿宋" w:cs="仿宋"/>
          <w:color w:val="auto"/>
          <w:highlight w:val="none"/>
        </w:rPr>
      </w:pPr>
    </w:p>
    <w:p w14:paraId="27A2B96D">
      <w:pPr>
        <w:rPr>
          <w:rFonts w:hint="eastAsia" w:ascii="仿宋" w:hAnsi="仿宋" w:eastAsia="仿宋" w:cs="仿宋"/>
          <w:color w:val="auto"/>
          <w:highlight w:val="none"/>
        </w:rPr>
      </w:pPr>
    </w:p>
    <w:p w14:paraId="41C2DB86">
      <w:pPr>
        <w:rPr>
          <w:rFonts w:hint="eastAsia" w:ascii="仿宋" w:hAnsi="仿宋" w:eastAsia="仿宋" w:cs="仿宋"/>
          <w:color w:val="auto"/>
          <w:highlight w:val="none"/>
        </w:rPr>
      </w:pPr>
    </w:p>
    <w:p w14:paraId="3CD8C053">
      <w:pPr>
        <w:rPr>
          <w:rFonts w:hint="eastAsia" w:ascii="仿宋" w:hAnsi="仿宋" w:eastAsia="仿宋" w:cs="仿宋"/>
          <w:color w:val="auto"/>
          <w:highlight w:val="none"/>
        </w:rPr>
      </w:pPr>
    </w:p>
    <w:p w14:paraId="3EF674A7">
      <w:pPr>
        <w:rPr>
          <w:rFonts w:hint="eastAsia" w:ascii="仿宋" w:hAnsi="仿宋" w:eastAsia="仿宋" w:cs="仿宋"/>
          <w:color w:val="auto"/>
          <w:highlight w:val="none"/>
        </w:rPr>
      </w:pPr>
    </w:p>
    <w:p w14:paraId="256DB3DE">
      <w:pPr>
        <w:widowControl/>
        <w:jc w:val="left"/>
        <w:rPr>
          <w:rFonts w:ascii="Arial" w:hAnsi="Arial" w:cs="Arial"/>
          <w:b/>
          <w:bCs/>
          <w:color w:val="auto"/>
          <w:sz w:val="32"/>
          <w:highlight w:val="none"/>
        </w:rPr>
      </w:pPr>
      <w:r>
        <w:rPr>
          <w:b/>
          <w:bCs/>
          <w:color w:val="auto"/>
          <w:sz w:val="32"/>
          <w:highlight w:val="none"/>
        </w:rPr>
        <w:br w:type="page"/>
      </w:r>
    </w:p>
    <w:p w14:paraId="7C9A099C">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一、总 则</w:t>
      </w:r>
      <w:bookmarkEnd w:id="54"/>
    </w:p>
    <w:p w14:paraId="3C6FAE31">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1、采购方式</w:t>
      </w:r>
    </w:p>
    <w:p w14:paraId="237A65D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本次采购采取竞争性磋商方式。</w:t>
      </w:r>
    </w:p>
    <w:p w14:paraId="29A1D35B">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2、合格的供应商</w:t>
      </w:r>
    </w:p>
    <w:p w14:paraId="40361344">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2.1合格的供应商必须符合磋商文件第一章《磋商邀请》第二条及供应商须知前附表相关规定，且具备完成本项目的能力，成交后不允许转包。</w:t>
      </w:r>
    </w:p>
    <w:p w14:paraId="758DDCE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2.2满足本文件实质性要求的规定。</w:t>
      </w:r>
    </w:p>
    <w:p w14:paraId="5E61B6BB">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3、适用法律</w:t>
      </w:r>
    </w:p>
    <w:p w14:paraId="65AC1227">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本次磋商及由磋商产生的合同受中华人民共和国的相关</w:t>
      </w:r>
      <w:r>
        <w:rPr>
          <w:rFonts w:hint="eastAsia" w:ascii="Times New Roman" w:hAnsi="Times New Roman" w:cs="仿宋"/>
          <w:color w:val="auto"/>
          <w:sz w:val="24"/>
          <w:highlight w:val="none"/>
          <w:lang w:eastAsia="zh-CN"/>
        </w:rPr>
        <w:t>法律法规</w:t>
      </w:r>
      <w:r>
        <w:rPr>
          <w:rFonts w:hint="eastAsia" w:ascii="Times New Roman" w:hAnsi="Times New Roman" w:cs="仿宋"/>
          <w:color w:val="auto"/>
          <w:sz w:val="24"/>
          <w:highlight w:val="none"/>
        </w:rPr>
        <w:t>制约和保护。</w:t>
      </w:r>
    </w:p>
    <w:p w14:paraId="1541436E">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4、费用</w:t>
      </w:r>
    </w:p>
    <w:p w14:paraId="03C47D9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供应商应自行承担所有参加磋商活动有关的费用。</w:t>
      </w:r>
    </w:p>
    <w:p w14:paraId="2413179F">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55" w:name="_Toc141869963"/>
      <w:r>
        <w:rPr>
          <w:rFonts w:hint="eastAsia" w:ascii="黑体" w:hAnsi="黑体" w:eastAsia="黑体" w:cs="黑体"/>
          <w:b w:val="0"/>
          <w:bCs w:val="0"/>
          <w:color w:val="auto"/>
          <w:sz w:val="32"/>
          <w:highlight w:val="none"/>
        </w:rPr>
        <w:t>二、竞争性磋商文件</w:t>
      </w:r>
      <w:bookmarkEnd w:id="55"/>
    </w:p>
    <w:p w14:paraId="0B7DFBB7">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5、磋商文件构成</w:t>
      </w:r>
    </w:p>
    <w:p w14:paraId="7B2E63D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5.1磋商文件由以下部分组成：</w:t>
      </w:r>
    </w:p>
    <w:p w14:paraId="3DB9DA9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第一章：磋商邀请；</w:t>
      </w:r>
    </w:p>
    <w:p w14:paraId="1E03D3C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第二章：供应商须知；</w:t>
      </w:r>
    </w:p>
    <w:p w14:paraId="13E176D5">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第三章：评审方法与评审标准；</w:t>
      </w:r>
    </w:p>
    <w:p w14:paraId="4B98798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第四章：采购需求；</w:t>
      </w:r>
    </w:p>
    <w:p w14:paraId="337C34E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第五章：合同文本；</w:t>
      </w:r>
    </w:p>
    <w:p w14:paraId="3F0710A2">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第六章：响应文件格式。</w:t>
      </w:r>
    </w:p>
    <w:p w14:paraId="0D15FAF6">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请仔细检查磋商文件是否齐全，如有缺漏请立即与代理机构联系解决。</w:t>
      </w:r>
    </w:p>
    <w:p w14:paraId="1F495642">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5.2供应商应认真阅读磋商文件中所有的事项、格式、条款和规范等要求。按磋商文件要求和规定编制响应文件，并保证所提供的全部资料的真实性，以使其响应文件对磋商文件作出实质性响应，否则风险由供应商自行承担。</w:t>
      </w:r>
    </w:p>
    <w:p w14:paraId="5B7EDFDE">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6、政府采购政策</w:t>
      </w:r>
    </w:p>
    <w:p w14:paraId="2D5F22D6">
      <w:pPr>
        <w:spacing w:line="480" w:lineRule="exact"/>
        <w:ind w:firstLine="482"/>
        <w:rPr>
          <w:rFonts w:ascii="Times New Roman" w:hAnsi="Times New Roman" w:cs="仿宋"/>
          <w:b/>
          <w:color w:val="auto"/>
          <w:sz w:val="24"/>
          <w:highlight w:val="none"/>
          <w:u w:val="single"/>
        </w:rPr>
      </w:pPr>
      <w:r>
        <w:rPr>
          <w:rFonts w:hint="eastAsia" w:ascii="Times New Roman" w:hAnsi="Times New Roman" w:cs="仿宋"/>
          <w:b/>
          <w:bCs/>
          <w:color w:val="auto"/>
          <w:sz w:val="24"/>
          <w:highlight w:val="none"/>
        </w:rPr>
        <w:t>本项目落实的政府采购政策对应序号为</w:t>
      </w:r>
      <w:r>
        <w:rPr>
          <w:rFonts w:hint="eastAsia" w:ascii="Times New Roman" w:hAnsi="Times New Roman" w:cs="仿宋"/>
          <w:b/>
          <w:bCs/>
          <w:color w:val="FF0000"/>
          <w:sz w:val="24"/>
          <w:highlight w:val="yellow"/>
          <w:u w:val="single"/>
        </w:rPr>
        <w:t>（</w:t>
      </w:r>
      <w:r>
        <w:rPr>
          <w:rFonts w:ascii="Times New Roman" w:hAnsi="Times New Roman" w:cs="仿宋"/>
          <w:b/>
          <w:bCs/>
          <w:color w:val="FF0000"/>
          <w:sz w:val="24"/>
          <w:highlight w:val="yellow"/>
          <w:u w:val="single"/>
        </w:rPr>
        <w:t>1</w:t>
      </w:r>
      <w:r>
        <w:rPr>
          <w:rFonts w:hint="eastAsia" w:ascii="Times New Roman" w:hAnsi="Times New Roman" w:cs="仿宋"/>
          <w:b/>
          <w:bCs/>
          <w:color w:val="FF0000"/>
          <w:sz w:val="24"/>
          <w:highlight w:val="yellow"/>
          <w:u w:val="single"/>
        </w:rPr>
        <w:t>）</w:t>
      </w:r>
      <w:r>
        <w:rPr>
          <w:rFonts w:hint="eastAsia" w:ascii="Times New Roman" w:hAnsi="Times New Roman" w:cs="仿宋"/>
          <w:b/>
          <w:bCs/>
          <w:color w:val="auto"/>
          <w:sz w:val="24"/>
          <w:highlight w:val="yellow"/>
          <w:u w:val="single"/>
        </w:rPr>
        <w:t xml:space="preserve"> </w:t>
      </w:r>
    </w:p>
    <w:p w14:paraId="35C847C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6.1中小企业政策</w:t>
      </w:r>
    </w:p>
    <w:p w14:paraId="5F75930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本项目按以下第</w:t>
      </w:r>
      <w:r>
        <w:rPr>
          <w:rFonts w:hint="eastAsia" w:ascii="Times New Roman" w:hAnsi="Times New Roman" w:cs="仿宋"/>
          <w:b/>
          <w:bCs/>
          <w:color w:val="FF0000"/>
          <w:sz w:val="24"/>
          <w:highlight w:val="yellow"/>
          <w:u w:val="single"/>
        </w:rPr>
        <w:t>（</w:t>
      </w:r>
      <w:r>
        <w:rPr>
          <w:rFonts w:ascii="Times New Roman" w:hAnsi="Times New Roman" w:cs="仿宋"/>
          <w:b/>
          <w:bCs/>
          <w:color w:val="FF0000"/>
          <w:sz w:val="24"/>
          <w:highlight w:val="yellow"/>
          <w:u w:val="single"/>
        </w:rPr>
        <w:t>1</w:t>
      </w:r>
      <w:r>
        <w:rPr>
          <w:rFonts w:hint="eastAsia" w:ascii="Times New Roman" w:hAnsi="Times New Roman" w:cs="仿宋"/>
          <w:b/>
          <w:bCs/>
          <w:color w:val="FF0000"/>
          <w:sz w:val="24"/>
          <w:highlight w:val="yellow"/>
          <w:u w:val="single"/>
        </w:rPr>
        <w:t>）</w:t>
      </w:r>
      <w:r>
        <w:rPr>
          <w:rFonts w:hint="eastAsia" w:ascii="Times New Roman" w:hAnsi="Times New Roman" w:cs="仿宋"/>
          <w:b/>
          <w:bCs/>
          <w:color w:val="FF0000"/>
          <w:sz w:val="24"/>
          <w:highlight w:val="yellow"/>
          <w:u w:val="single"/>
          <w:lang w:eastAsia="zh-CN"/>
        </w:rPr>
        <w:t>项</w:t>
      </w:r>
      <w:r>
        <w:rPr>
          <w:rFonts w:hint="eastAsia" w:ascii="Times New Roman" w:hAnsi="Times New Roman" w:cs="仿宋"/>
          <w:color w:val="auto"/>
          <w:sz w:val="24"/>
          <w:highlight w:val="none"/>
        </w:rPr>
        <w:t>政策确定本项目落实的中小企业政策：</w:t>
      </w:r>
    </w:p>
    <w:p w14:paraId="3C972EB1">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（1）本项目专门面向中小企业（含监狱与戒毒企业、残疾人福利企业）采购。</w:t>
      </w:r>
    </w:p>
    <w:p w14:paraId="0EE71565">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（2）对符合规定情形的小微企业报价给予</w:t>
      </w:r>
      <w:r>
        <w:rPr>
          <w:rFonts w:hint="eastAsia" w:ascii="Times New Roman" w:hAnsi="Times New Roman" w:cs="仿宋"/>
          <w:color w:val="FF0000"/>
          <w:sz w:val="24"/>
          <w:highlight w:val="yellow"/>
          <w:u w:val="single"/>
          <w:lang w:val="en-US" w:eastAsia="zh-CN"/>
        </w:rPr>
        <w:t>15</w:t>
      </w:r>
      <w:r>
        <w:rPr>
          <w:rFonts w:hint="eastAsia" w:ascii="Times New Roman" w:hAnsi="Times New Roman" w:cs="仿宋"/>
          <w:color w:val="auto"/>
          <w:sz w:val="24"/>
          <w:highlight w:val="yellow"/>
          <w:u w:val="single"/>
          <w:lang w:val="en-US" w:eastAsia="zh-CN"/>
        </w:rPr>
        <w:t>%</w:t>
      </w:r>
      <w:r>
        <w:rPr>
          <w:rFonts w:hint="eastAsia" w:ascii="Times New Roman" w:hAnsi="Times New Roman" w:cs="仿宋"/>
          <w:color w:val="auto"/>
          <w:sz w:val="24"/>
          <w:highlight w:val="none"/>
        </w:rPr>
        <w:t>扣除，用扣除后的价格参加评审。</w:t>
      </w:r>
    </w:p>
    <w:p w14:paraId="522C760B">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在服务采购项目中，服务由中小企业承接，即提供服务的人员为中小企业依照《中华人民共和国劳动合同法》订立劳动合同的从业人员。</w:t>
      </w:r>
    </w:p>
    <w:p w14:paraId="0EB9603C">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_GB2312"/>
          <w:color w:val="auto"/>
          <w:sz w:val="24"/>
          <w:highlight w:val="none"/>
        </w:rPr>
        <w:t>在货物采购项目中，货物由中小企业制造，即货物由中小企业生产且使用该中小企业商号或者注册商标。</w:t>
      </w:r>
    </w:p>
    <w:p w14:paraId="78ADA846">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注：①参加磋商的中小企业，应当按照《政府采购促进中小企业发展管理办法》（财库〔2020〕46号）规定，出具《中小企业声明函》，中小企业划型依据《关于印发中小企业划型标准规定的通知》（工信部联企业〔2011〕300号）。</w:t>
      </w:r>
    </w:p>
    <w:p w14:paraId="391D7466">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②参加磋商的监狱企业，视同小型、微型企业。监狱企业应当按照《财政部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响应文件中上传加盖出具单位公章的电子件）。</w:t>
      </w:r>
    </w:p>
    <w:p w14:paraId="3A074758">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③参加磋商的残疾人福利性单位，视同小型、微型企业。残疾人福利性单位应当按照《财政部 民政部 中国残疾人联合会关于促进残疾人就业政府采购政策的通知》（财库〔2017〕141号）的规定，提供《残疾人福利性单位声明函》。</w:t>
      </w:r>
    </w:p>
    <w:p w14:paraId="4448D016">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imes New Roman" w:hAnsi="Times New Roman" w:cs="仿宋"/>
          <w:color w:val="auto"/>
          <w:sz w:val="24"/>
          <w:highlight w:val="none"/>
          <w:u w:val="single"/>
        </w:rPr>
        <w:t>5</w:t>
      </w:r>
      <w:r>
        <w:rPr>
          <w:rFonts w:hint="eastAsia" w:ascii="Times New Roman" w:hAnsi="Times New Roman" w:cs="仿宋"/>
          <w:color w:val="auto"/>
          <w:sz w:val="24"/>
          <w:highlight w:val="none"/>
        </w:rPr>
        <w:t>%（工程项目为</w:t>
      </w:r>
      <w:r>
        <w:rPr>
          <w:rFonts w:hint="eastAsia" w:ascii="Times New Roman" w:hAnsi="Times New Roman" w:cs="仿宋"/>
          <w:color w:val="auto"/>
          <w:sz w:val="24"/>
          <w:highlight w:val="none"/>
          <w:u w:val="single"/>
        </w:rPr>
        <w:t>2</w:t>
      </w:r>
      <w:r>
        <w:rPr>
          <w:rFonts w:hint="eastAsia" w:ascii="Times New Roman" w:hAnsi="Times New Roman" w:cs="仿宋"/>
          <w:color w:val="auto"/>
          <w:sz w:val="24"/>
          <w:highlight w:val="none"/>
        </w:rPr>
        <w:t>%）的扣除，用扣除后的价格参加评审。（是否接受联合体以“项目基本情况”相关内容为准，是否允许大中型企业向一家或者多家小微企业分包以“供应商须知前附表</w:t>
      </w:r>
      <w:r>
        <w:rPr>
          <w:rFonts w:hint="eastAsia" w:ascii="Times New Roman" w:hAnsi="Times New Roman" w:cs="仿宋"/>
          <w:color w:val="auto"/>
          <w:sz w:val="24"/>
          <w:highlight w:val="none"/>
          <w:lang w:eastAsia="zh-CN"/>
        </w:rPr>
        <w:t>”“</w:t>
      </w:r>
      <w:r>
        <w:rPr>
          <w:rFonts w:hint="eastAsia" w:ascii="Times New Roman" w:hAnsi="Times New Roman" w:cs="仿宋"/>
          <w:color w:val="auto"/>
          <w:sz w:val="24"/>
          <w:highlight w:val="none"/>
        </w:rPr>
        <w:t>采购需求”相关内容为准）</w:t>
      </w:r>
    </w:p>
    <w:p w14:paraId="3863C305">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⑤联合体各方均为小型、微型企业（残疾人福利单位、监狱企业）的，联合体享受15%价格扣除，用扣除后的价格参与评审。</w:t>
      </w:r>
    </w:p>
    <w:p w14:paraId="663D674A">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6.2节能产品、环境标志产品</w:t>
      </w:r>
    </w:p>
    <w:p w14:paraId="56A77ECA">
      <w:pPr>
        <w:spacing w:line="480" w:lineRule="exact"/>
        <w:ind w:firstLine="480" w:firstLineChars="200"/>
        <w:rPr>
          <w:rFonts w:ascii="Times New Roman" w:hAnsi="Times New Roman" w:cs="仿宋"/>
          <w:color w:val="auto"/>
          <w:sz w:val="24"/>
          <w:highlight w:val="none"/>
        </w:rPr>
        <w:sectPr>
          <w:footerReference r:id="rId3" w:type="default"/>
          <w:pgSz w:w="11906" w:h="16838"/>
          <w:pgMar w:top="1440" w:right="1304" w:bottom="1440" w:left="1417" w:header="851" w:footer="992" w:gutter="0"/>
          <w:pgNumType w:start="1"/>
          <w:cols w:space="720" w:num="1"/>
          <w:docGrid w:type="lines" w:linePitch="312" w:charSpace="0"/>
        </w:sectPr>
      </w:pPr>
      <w:r>
        <w:rPr>
          <w:rFonts w:hint="eastAsia" w:ascii="Times New Roman" w:hAnsi="Times New Roman" w:cs="仿宋"/>
          <w:color w:val="auto"/>
          <w:sz w:val="24"/>
          <w:highlight w:val="none"/>
        </w:rPr>
        <w:t>拟采购的产品属于品目清单范围的，采购人将依据国家确定的认证机构出具的、处于有效期之内的节能产品、环境标志产品认证证书，对获得证书的</w:t>
      </w:r>
    </w:p>
    <w:p w14:paraId="75345472">
      <w:pPr>
        <w:spacing w:line="480" w:lineRule="exact"/>
        <w:rPr>
          <w:rFonts w:ascii="Times New Roman" w:hAnsi="Times New Roman" w:cs="仿宋"/>
          <w:color w:val="auto"/>
          <w:sz w:val="24"/>
          <w:highlight w:val="none"/>
        </w:rPr>
      </w:pPr>
      <w:r>
        <w:rPr>
          <w:rFonts w:hint="eastAsia" w:ascii="Times New Roman" w:hAnsi="Times New Roman" w:cs="仿宋"/>
          <w:color w:val="auto"/>
          <w:sz w:val="24"/>
          <w:highlight w:val="none"/>
        </w:rPr>
        <w:t>产品实施政府优先采购或强制采购。</w:t>
      </w:r>
    </w:p>
    <w:p w14:paraId="73988588">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6.2.1拟采购的产品属于政府强制采购的节能产品品目清单范围的，供应商须提供国家确定的认证机构出具的、处于有效期之内的节能产品认证证书，否则其响应文件按无效标处理。</w:t>
      </w:r>
    </w:p>
    <w:p w14:paraId="3D47B6CE">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6.2.2拟采购的产品属于优先采购的节能环保品目清单范围的，对提供有效节能产品或环境标志产品认证证书的供应商加分。</w:t>
      </w:r>
    </w:p>
    <w:p w14:paraId="033CD52E">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6.3政府采购需求标准</w:t>
      </w:r>
    </w:p>
    <w:p w14:paraId="4FCAFF1B">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6.3.1商品包装、快递包装政府采购需求标准（试行）</w:t>
      </w:r>
    </w:p>
    <w:p w14:paraId="39A98DE5">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按照财政部印发的《商品包装政府采购需求标准（试行）》《快递包装政府采购需求标准（试行）》要求执行，本项目商品包装和快递包装的具体需求详见第四章采购需求。</w:t>
      </w:r>
    </w:p>
    <w:p w14:paraId="38B567ED">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6.3.2绿色数据中心政府采购需求标准（试行）</w:t>
      </w:r>
    </w:p>
    <w:p w14:paraId="2260D1DB">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按照财政部 生态环境部 工业和信息化部关于印发《绿色数据中心政府采购需求标准（试行）》的通知）要求执行，本项目绿色数据中心的具体需求详见第四章采购需求。</w:t>
      </w:r>
    </w:p>
    <w:p w14:paraId="775F8177">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6.3.3绿色建材政府采购需求标准</w:t>
      </w:r>
    </w:p>
    <w:p w14:paraId="25F6BA4D">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按照财政部 住房和城乡建设部 工业和信息化部关于印发《关于扩大政府采购支持绿色建材促进建筑品质提升政策实施范围的通知》要求执行，本项目绿色建材的具体需求详见第四章采购需求。</w:t>
      </w:r>
    </w:p>
    <w:p w14:paraId="0555F06C">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6.4采购产品中涉及涂料、胶黏剂、油墨、清洗剂等挥发性有机物产品的，属于强制性标准的，供应商应当提供符合国家和江苏省相关VOCs含量限制标准的产品。采购产品中涉及通用类货物、家具的，供应商应当优先使用低挥发性原辅材料，采购人将使用低VOCs含量的涂料、胶黏剂等纳入政府采购合同条款的，供应商必须严格执行。</w:t>
      </w:r>
    </w:p>
    <w:p w14:paraId="4CF5078C">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7、磋商文件的澄清或修改</w:t>
      </w:r>
    </w:p>
    <w:p w14:paraId="5D04ABCC">
      <w:pPr>
        <w:spacing w:line="480" w:lineRule="exact"/>
        <w:ind w:firstLine="482"/>
        <w:rPr>
          <w:rFonts w:ascii="Times New Roman" w:hAnsi="Times New Roman" w:cs="仿宋"/>
          <w:b/>
          <w:color w:val="auto"/>
          <w:sz w:val="24"/>
          <w:highlight w:val="none"/>
        </w:rPr>
        <w:sectPr>
          <w:footerReference r:id="rId4" w:type="default"/>
          <w:pgSz w:w="11906" w:h="16838"/>
          <w:pgMar w:top="1440" w:right="1491" w:bottom="1440" w:left="1800" w:header="851" w:footer="992" w:gutter="0"/>
          <w:cols w:space="720" w:num="1"/>
          <w:docGrid w:type="lines" w:linePitch="312" w:charSpace="0"/>
        </w:sectPr>
      </w:pPr>
      <w:r>
        <w:rPr>
          <w:rFonts w:hint="eastAsia" w:ascii="Times New Roman" w:hAnsi="Times New Roman" w:cs="仿宋"/>
          <w:color w:val="auto"/>
          <w:sz w:val="24"/>
          <w:highlight w:val="none"/>
        </w:rPr>
        <w:t>7.1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在提交首次响应文件截止时间至少5日前，以书面形式通知所有获取磋</w:t>
      </w:r>
    </w:p>
    <w:p w14:paraId="05DEFA11">
      <w:pPr>
        <w:spacing w:line="480" w:lineRule="exact"/>
        <w:rPr>
          <w:rFonts w:ascii="Times New Roman" w:hAnsi="Times New Roman" w:cs="仿宋"/>
          <w:color w:val="auto"/>
          <w:sz w:val="24"/>
          <w:highlight w:val="none"/>
        </w:rPr>
      </w:pPr>
      <w:r>
        <w:rPr>
          <w:rFonts w:hint="eastAsia" w:ascii="Times New Roman" w:hAnsi="Times New Roman" w:cs="仿宋"/>
          <w:color w:val="auto"/>
          <w:sz w:val="24"/>
          <w:highlight w:val="none"/>
        </w:rPr>
        <w:t>商文件的供应商；不足5日的，采购人、采购代理机构应顺延提交首次响应文件截止时间。</w:t>
      </w:r>
    </w:p>
    <w:p w14:paraId="562C1AF1">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7.2磋商文件的澄清或者修改将在原公告媒体上发布更正公告，澄清、修改文件均作为磋商文件的组成部分，并对供应商具有约束力。</w:t>
      </w:r>
    </w:p>
    <w:p w14:paraId="7512754D">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7.3供应商应及时登录“苏采云”系统获取澄清答疑文件（修改后磋商文件），如供应商未能及时下载澄清和修改后的磋商文件，造成的相关责任由供应商承担。</w:t>
      </w:r>
    </w:p>
    <w:p w14:paraId="602AFE6F">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56" w:name="_Toc141869964"/>
      <w:r>
        <w:rPr>
          <w:rFonts w:hint="eastAsia" w:ascii="黑体" w:hAnsi="黑体" w:eastAsia="黑体" w:cs="黑体"/>
          <w:b w:val="0"/>
          <w:bCs w:val="0"/>
          <w:color w:val="auto"/>
          <w:sz w:val="32"/>
          <w:highlight w:val="none"/>
        </w:rPr>
        <w:t>三、响应文件的编制</w:t>
      </w:r>
      <w:bookmarkEnd w:id="56"/>
    </w:p>
    <w:p w14:paraId="6C6FE514">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8、响应文件的编制要求</w:t>
      </w:r>
    </w:p>
    <w:p w14:paraId="1BB41AA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8.1供应商应仔细阅读“磋商文件”的所有内容，保证所提供的全部资料的真实性、完整性及有效性，以使其响应对“磋商文件”作出实质性响应。</w:t>
      </w:r>
    </w:p>
    <w:p w14:paraId="676FC2E6">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8.2响应文件要求加盖电子签章之处，应按要求加盖供应商数字证书的电子签章。其他需要盖章但未明确要求电子签章的，供应商可按要求盖公章后上传材料电子件或直接盖电子签章。</w:t>
      </w:r>
    </w:p>
    <w:p w14:paraId="4594D4E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8.3本项目通过“苏采云”系统进行电子磋商，供应商使用政府采购客户端工具制作并通过“苏采云”系统提交响应文件，如标书制作工具中格式和内容与“江苏政府采购网”“宿迁市政府采购网”发布的磋商文件不一致的，以“江</w:t>
      </w:r>
      <w:r>
        <w:rPr>
          <w:rFonts w:hint="eastAsia" w:ascii="Times New Roman" w:hAnsi="Times New Roman" w:cs="仿宋"/>
          <w:color w:val="auto"/>
          <w:sz w:val="24"/>
          <w:highlight w:val="none"/>
          <w:lang w:eastAsia="zh-CN"/>
        </w:rPr>
        <w:t>苏省</w:t>
      </w:r>
      <w:r>
        <w:rPr>
          <w:rFonts w:hint="eastAsia" w:ascii="Times New Roman" w:hAnsi="Times New Roman" w:cs="仿宋"/>
          <w:color w:val="auto"/>
          <w:sz w:val="24"/>
          <w:highlight w:val="none"/>
        </w:rPr>
        <w:t>政府采购网”“宿迁市政府采购网”发布的磋商文件为准。</w:t>
      </w:r>
    </w:p>
    <w:p w14:paraId="79B8C2F0">
      <w:pPr>
        <w:spacing w:line="480" w:lineRule="exact"/>
        <w:ind w:firstLine="482"/>
        <w:rPr>
          <w:rFonts w:ascii="Times New Roman" w:hAnsi="Times New Roman"/>
          <w:b/>
          <w:color w:val="auto"/>
          <w:sz w:val="24"/>
          <w:highlight w:val="none"/>
        </w:rPr>
      </w:pPr>
      <w:r>
        <w:rPr>
          <w:rFonts w:ascii="Times New Roman" w:hAnsi="Times New Roman"/>
          <w:b/>
          <w:color w:val="auto"/>
          <w:sz w:val="24"/>
          <w:highlight w:val="none"/>
        </w:rPr>
        <w:t>9、响应文件构成</w:t>
      </w:r>
    </w:p>
    <w:p w14:paraId="401B584A">
      <w:pPr>
        <w:spacing w:line="480" w:lineRule="exact"/>
        <w:ind w:firstLine="482"/>
        <w:rPr>
          <w:rFonts w:ascii="Times New Roman" w:hAnsi="Times New Roman"/>
          <w:b/>
          <w:color w:val="auto"/>
          <w:sz w:val="24"/>
          <w:highlight w:val="none"/>
        </w:rPr>
      </w:pPr>
      <w:bookmarkStart w:id="57" w:name="EBd2e6df6607b447c7a4370e6531238d19"/>
      <w:r>
        <w:rPr>
          <w:rFonts w:ascii="Times New Roman" w:hAnsi="Times New Roman"/>
          <w:color w:val="auto"/>
          <w:sz w:val="24"/>
          <w:szCs w:val="21"/>
          <w:highlight w:val="none"/>
        </w:rPr>
        <w:t>9.1响应文件包括资格证明文件、</w:t>
      </w:r>
      <w:r>
        <w:rPr>
          <w:rFonts w:ascii="Times New Roman" w:hAnsi="Times New Roman"/>
          <w:color w:val="auto"/>
          <w:sz w:val="24"/>
          <w:szCs w:val="24"/>
          <w:highlight w:val="none"/>
        </w:rPr>
        <w:t>实质性要求响应及偏离表</w:t>
      </w:r>
      <w:r>
        <w:rPr>
          <w:rFonts w:ascii="Times New Roman" w:hAnsi="Times New Roman"/>
          <w:color w:val="auto"/>
          <w:sz w:val="24"/>
          <w:szCs w:val="21"/>
          <w:highlight w:val="none"/>
        </w:rPr>
        <w:t>、分项报价表、响应及偏离表、磋商</w:t>
      </w:r>
      <w:r>
        <w:rPr>
          <w:rFonts w:hint="eastAsia" w:ascii="Times New Roman" w:hAnsi="Times New Roman"/>
          <w:color w:val="auto"/>
          <w:sz w:val="24"/>
          <w:szCs w:val="21"/>
          <w:highlight w:val="none"/>
        </w:rPr>
        <w:t>申请</w:t>
      </w:r>
      <w:r>
        <w:rPr>
          <w:rFonts w:ascii="Times New Roman" w:hAnsi="Times New Roman"/>
          <w:color w:val="auto"/>
          <w:sz w:val="24"/>
          <w:szCs w:val="21"/>
          <w:highlight w:val="none"/>
        </w:rPr>
        <w:t>函</w:t>
      </w:r>
      <w:r>
        <w:rPr>
          <w:rFonts w:hint="eastAsia" w:ascii="Times New Roman" w:hAnsi="Times New Roman"/>
          <w:color w:val="auto"/>
          <w:sz w:val="24"/>
          <w:szCs w:val="21"/>
          <w:highlight w:val="none"/>
        </w:rPr>
        <w:t>、</w:t>
      </w:r>
      <w:r>
        <w:rPr>
          <w:rFonts w:ascii="Times New Roman" w:hAnsi="Times New Roman"/>
          <w:color w:val="auto"/>
          <w:sz w:val="24"/>
          <w:szCs w:val="21"/>
          <w:highlight w:val="none"/>
        </w:rPr>
        <w:t>其他证明文件等部分。</w:t>
      </w:r>
      <w:r>
        <w:rPr>
          <w:rFonts w:ascii="Times New Roman" w:hAnsi="Times New Roman"/>
          <w:color w:val="auto"/>
          <w:sz w:val="24"/>
          <w:highlight w:val="none"/>
        </w:rPr>
        <w:t>响应文件构成资料为非中文时应提供中文译版。</w:t>
      </w:r>
    </w:p>
    <w:p w14:paraId="7416E652">
      <w:pPr>
        <w:spacing w:line="480" w:lineRule="exact"/>
        <w:ind w:firstLine="482"/>
        <w:rPr>
          <w:rFonts w:ascii="Times New Roman" w:hAnsi="Times New Roman"/>
          <w:b/>
          <w:color w:val="auto"/>
          <w:sz w:val="24"/>
          <w:highlight w:val="none"/>
        </w:rPr>
      </w:pPr>
      <w:r>
        <w:rPr>
          <w:rFonts w:ascii="Times New Roman" w:hAnsi="Times New Roman"/>
          <w:b/>
          <w:color w:val="auto"/>
          <w:sz w:val="24"/>
          <w:highlight w:val="none"/>
        </w:rPr>
        <w:t>9.2磋商文件要求提供证书证件等原件电子件的，供应商提供的电子件应是对证书证件等原件通过扫描、拍照等方式进行数字化的可被</w:t>
      </w:r>
      <w:r>
        <w:rPr>
          <w:rFonts w:ascii="Times New Roman" w:hAnsi="Times New Roman"/>
          <w:b/>
          <w:bCs/>
          <w:color w:val="auto"/>
          <w:sz w:val="24"/>
          <w:highlight w:val="none"/>
        </w:rPr>
        <w:t>“苏采云”</w:t>
      </w:r>
      <w:r>
        <w:rPr>
          <w:rFonts w:ascii="Times New Roman" w:hAnsi="Times New Roman"/>
          <w:b/>
          <w:color w:val="auto"/>
          <w:sz w:val="24"/>
          <w:highlight w:val="none"/>
        </w:rPr>
        <w:t>系统识别的数字文件，否则磋商小组可以视其未提供。无论何种原因，即使供应商磋商时携带了证书证明资料的原件，但电子响应文件中未包含相关资料电子件的，磋商小组可以视同其未提供。</w:t>
      </w:r>
      <w:bookmarkEnd w:id="57"/>
    </w:p>
    <w:p w14:paraId="2D8ED705">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10、响应文件的报价</w:t>
      </w:r>
    </w:p>
    <w:p w14:paraId="5BDB9EC6">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10.1分次报价，供应商响应文件中的报价作为第一次报价，不公开；以最后报价作为价格分计算。</w:t>
      </w:r>
    </w:p>
    <w:p w14:paraId="1367087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10.2报价注意事项：报价一律以人民币计算，以元为单位标注，最多保留至小数点后两位，磋商文件有规定的按磋商文件执行。</w:t>
      </w:r>
    </w:p>
    <w:p w14:paraId="72BCA4B4">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11、磋商保证金</w:t>
      </w:r>
    </w:p>
    <w:p w14:paraId="4A0787AC">
      <w:pPr>
        <w:spacing w:line="480" w:lineRule="exact"/>
        <w:ind w:firstLine="480"/>
        <w:rPr>
          <w:rFonts w:ascii="Times New Roman" w:hAnsi="Times New Roman" w:cs="仿宋"/>
          <w:color w:val="auto"/>
          <w:sz w:val="24"/>
          <w:highlight w:val="none"/>
        </w:rPr>
      </w:pPr>
      <w:bookmarkStart w:id="58" w:name="EB2c6535ca97b046d89f956e109e785ae2"/>
      <w:r>
        <w:rPr>
          <w:rFonts w:hint="eastAsia" w:ascii="Times New Roman" w:hAnsi="Times New Roman" w:cs="仿宋"/>
          <w:color w:val="auto"/>
          <w:sz w:val="24"/>
          <w:highlight w:val="none"/>
        </w:rPr>
        <w:t>本项目不收取磋商保证金。</w:t>
      </w:r>
      <w:bookmarkEnd w:id="58"/>
    </w:p>
    <w:p w14:paraId="1DECBC1C">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12、响应有效期</w:t>
      </w:r>
    </w:p>
    <w:p w14:paraId="1DF943DC">
      <w:pPr>
        <w:spacing w:line="480" w:lineRule="exact"/>
        <w:ind w:firstLine="480" w:firstLineChars="200"/>
        <w:rPr>
          <w:rFonts w:ascii="Times New Roman" w:hAnsi="Times New Roman" w:cs="仿宋"/>
          <w:color w:val="auto"/>
          <w:sz w:val="24"/>
          <w:highlight w:val="none"/>
        </w:rPr>
      </w:pPr>
      <w:bookmarkStart w:id="59" w:name="_Toc141869965"/>
      <w:r>
        <w:rPr>
          <w:rFonts w:hint="eastAsia" w:ascii="Times New Roman" w:hAnsi="Times New Roman" w:cs="仿宋"/>
          <w:color w:val="auto"/>
          <w:sz w:val="24"/>
          <w:highlight w:val="none"/>
        </w:rPr>
        <w:t>12.1在供应商须知前附表规定的响应有效期内，响应有效期从提交响应文件的截止之日起算。响应有效期比规定短的将被视为未实质性响应磋商文件。</w:t>
      </w:r>
    </w:p>
    <w:p w14:paraId="7EACFF8C">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12.2</w:t>
      </w:r>
      <w:r>
        <w:rPr>
          <w:rFonts w:hint="eastAsia" w:ascii="宋体" w:hAnsi="宋体"/>
          <w:bCs/>
          <w:color w:val="auto"/>
          <w:sz w:val="24"/>
          <w:szCs w:val="21"/>
          <w:highlight w:val="none"/>
        </w:rPr>
        <w:t>在特殊情况下，采购代理机构于原磋商有效期满之前，可向供应商提出延长磋商有效期的要求。这种要求与答复均应采用书面形式。供应商可以拒绝采购代理机构的这一要求而放弃磋商，同意延长磋商有效期的供应商既不能要求也不允许修改其响应文件。</w:t>
      </w:r>
      <w:r>
        <w:rPr>
          <w:rFonts w:hint="eastAsia" w:ascii="宋体" w:hAnsi="宋体"/>
          <w:color w:val="auto"/>
          <w:sz w:val="24"/>
          <w:szCs w:val="24"/>
          <w:highlight w:val="none"/>
        </w:rPr>
        <w:t>受磋商有效期约束的所有权利与义务均延长至新的有效期</w:t>
      </w:r>
      <w:r>
        <w:rPr>
          <w:rFonts w:hint="eastAsia" w:ascii="宋体" w:hAnsi="宋体"/>
          <w:bCs/>
          <w:color w:val="auto"/>
          <w:sz w:val="24"/>
          <w:szCs w:val="21"/>
          <w:highlight w:val="none"/>
        </w:rPr>
        <w:t>。</w:t>
      </w:r>
    </w:p>
    <w:p w14:paraId="4DD499A4">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四、响应文件的提交</w:t>
      </w:r>
      <w:bookmarkEnd w:id="59"/>
    </w:p>
    <w:p w14:paraId="7017051D">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13、响应文件的提交</w:t>
      </w:r>
    </w:p>
    <w:p w14:paraId="3E2C0FE3">
      <w:pPr>
        <w:widowControl/>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13.1供应商应在磋商文件规定的响应截止时间前提交响应文件。供应商应将电子响应文件上传至“苏采云”系统对应的采购包中。除磋商文件另有规定外，供应商所提交的响应文件不予退还。</w:t>
      </w:r>
    </w:p>
    <w:p w14:paraId="3B6A561A">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13.2响应文件的修改或撤回：在响应截止时间前，供应商可以撤回或重新提交响应文件。响应文件以最终完成上传的为准。</w:t>
      </w:r>
    </w:p>
    <w:p w14:paraId="7975E6BA">
      <w:pPr>
        <w:spacing w:line="480" w:lineRule="exact"/>
        <w:ind w:right="105" w:firstLine="480"/>
        <w:rPr>
          <w:rFonts w:ascii="Times New Roman" w:hAnsi="Times New Roman" w:cs="仿宋"/>
          <w:b/>
          <w:color w:val="auto"/>
          <w:sz w:val="24"/>
          <w:highlight w:val="none"/>
          <w:u w:val="single"/>
        </w:rPr>
      </w:pPr>
      <w:r>
        <w:rPr>
          <w:rFonts w:hint="eastAsia" w:ascii="Times New Roman" w:hAnsi="Times New Roman" w:cs="仿宋"/>
          <w:color w:val="auto"/>
          <w:sz w:val="24"/>
          <w:highlight w:val="none"/>
        </w:rPr>
        <w:t>13.3采购人、采购代理机构可以通过修改磋商文件酌情延长响应文件接收截止日期，在此情况下，供应商的所有权利和义务以及供应商受制约的截止日期均应以延长后新的截止日期为准。</w:t>
      </w:r>
    </w:p>
    <w:p w14:paraId="3B21721E">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14、响应文件被拒绝接收的情形</w:t>
      </w:r>
    </w:p>
    <w:p w14:paraId="0D23CF2E">
      <w:pPr>
        <w:spacing w:line="480" w:lineRule="exact"/>
        <w:ind w:right="105" w:firstLine="480"/>
        <w:rPr>
          <w:rFonts w:ascii="Times New Roman" w:hAnsi="Times New Roman" w:cs="仿宋"/>
          <w:color w:val="auto"/>
          <w:sz w:val="24"/>
          <w:highlight w:val="none"/>
        </w:rPr>
      </w:pPr>
      <w:r>
        <w:rPr>
          <w:rFonts w:hint="eastAsia" w:ascii="Times New Roman" w:hAnsi="Times New Roman" w:cs="仿宋"/>
          <w:color w:val="auto"/>
          <w:sz w:val="24"/>
          <w:highlight w:val="none"/>
        </w:rPr>
        <w:t>在磋商文件规定的响应截止时间后上传的响应文件。</w:t>
      </w:r>
    </w:p>
    <w:p w14:paraId="31CFC8DD">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60" w:name="_Toc141869967"/>
      <w:r>
        <w:rPr>
          <w:rFonts w:hint="eastAsia" w:ascii="黑体" w:hAnsi="黑体" w:eastAsia="黑体" w:cs="黑体"/>
          <w:b w:val="0"/>
          <w:bCs w:val="0"/>
          <w:color w:val="auto"/>
          <w:sz w:val="32"/>
          <w:highlight w:val="none"/>
        </w:rPr>
        <w:t>五、磋商程序及最后报价</w:t>
      </w:r>
      <w:bookmarkEnd w:id="60"/>
    </w:p>
    <w:p w14:paraId="0B59A61F">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15、磋商会议</w:t>
      </w:r>
    </w:p>
    <w:p w14:paraId="0946B2F4">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15.1采购代理机构按磋商文件规定的时间、地点组织磋商。供应商应当按照《操作手册》规定，在“苏采云”系统规定的时间内对磋商响应文件进行解密。</w:t>
      </w:r>
    </w:p>
    <w:p w14:paraId="784BFD40">
      <w:pPr>
        <w:spacing w:line="480" w:lineRule="exact"/>
        <w:ind w:firstLine="480"/>
        <w:rPr>
          <w:rFonts w:ascii="Times New Roman" w:hAnsi="Times New Roman" w:cs="仿宋"/>
          <w:color w:val="auto"/>
          <w:sz w:val="24"/>
          <w:highlight w:val="none"/>
        </w:rPr>
      </w:pPr>
      <w:r>
        <w:rPr>
          <w:rFonts w:hint="eastAsia" w:ascii="Times New Roman" w:hAnsi="Times New Roman" w:cs="仿宋"/>
          <w:b/>
          <w:color w:val="auto"/>
          <w:sz w:val="24"/>
          <w:highlight w:val="none"/>
        </w:rPr>
        <w:t>15.2供应商用于解密的CA证书应为该响应文件生成加密、上传的同一把CA证书。供应商应登录“苏采云”系统进入“开标大厅”，在系统约定时间内使用CA证书解密，</w:t>
      </w:r>
      <w:r>
        <w:rPr>
          <w:rFonts w:hint="eastAsia" w:ascii="Times New Roman" w:hAnsi="Times New Roman" w:cs="仿宋"/>
          <w:b/>
          <w:color w:val="auto"/>
          <w:sz w:val="24"/>
          <w:highlight w:val="none"/>
          <w:lang w:eastAsia="zh-CN"/>
        </w:rPr>
        <w:t>未</w:t>
      </w:r>
      <w:r>
        <w:rPr>
          <w:rFonts w:hint="eastAsia" w:ascii="Times New Roman" w:hAnsi="Times New Roman" w:cs="仿宋"/>
          <w:b/>
          <w:color w:val="auto"/>
          <w:sz w:val="24"/>
          <w:highlight w:val="none"/>
        </w:rPr>
        <w:t>成功解密的，视为其放弃磋商。</w:t>
      </w:r>
    </w:p>
    <w:p w14:paraId="163F6C73">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15.3供应商在磋商全过程中应保持通讯畅通，及时登录</w:t>
      </w:r>
      <w:r>
        <w:rPr>
          <w:rFonts w:hint="eastAsia" w:ascii="Times New Roman" w:hAnsi="Times New Roman" w:cs="仿宋"/>
          <w:b/>
          <w:bCs/>
          <w:color w:val="auto"/>
          <w:sz w:val="24"/>
          <w:highlight w:val="none"/>
        </w:rPr>
        <w:t>“苏采云”系统</w:t>
      </w:r>
      <w:r>
        <w:rPr>
          <w:rFonts w:hint="eastAsia" w:ascii="Times New Roman" w:hAnsi="Times New Roman" w:cs="仿宋"/>
          <w:color w:val="auto"/>
          <w:sz w:val="24"/>
          <w:highlight w:val="none"/>
        </w:rPr>
        <w:t>查阅、答复相关信息。</w:t>
      </w:r>
    </w:p>
    <w:p w14:paraId="1A303658">
      <w:pPr>
        <w:spacing w:line="480" w:lineRule="exact"/>
        <w:ind w:firstLine="480"/>
        <w:rPr>
          <w:rFonts w:ascii="Times New Roman" w:hAnsi="Times New Roman" w:cs="仿宋"/>
          <w:color w:val="auto"/>
          <w:sz w:val="24"/>
          <w:highlight w:val="none"/>
        </w:rPr>
      </w:pPr>
      <w:r>
        <w:rPr>
          <w:rFonts w:hint="eastAsia" w:ascii="Times New Roman" w:hAnsi="Times New Roman" w:cs="仿宋"/>
          <w:b/>
          <w:color w:val="auto"/>
          <w:sz w:val="24"/>
          <w:highlight w:val="none"/>
        </w:rPr>
        <w:t>16、磋商小组</w:t>
      </w:r>
      <w:bookmarkStart w:id="61" w:name="OLE_LINK3"/>
    </w:p>
    <w:p w14:paraId="46A19B25">
      <w:pPr>
        <w:spacing w:line="480" w:lineRule="exact"/>
        <w:ind w:firstLine="482"/>
        <w:rPr>
          <w:rFonts w:ascii="Times New Roman" w:hAnsi="Times New Roman" w:cs="仿宋"/>
          <w:b/>
          <w:color w:val="auto"/>
          <w:sz w:val="24"/>
          <w:highlight w:val="none"/>
        </w:rPr>
      </w:pPr>
      <w:r>
        <w:rPr>
          <w:rFonts w:hint="eastAsia" w:ascii="宋体" w:hAnsi="宋体"/>
          <w:color w:val="auto"/>
          <w:sz w:val="24"/>
          <w:szCs w:val="24"/>
          <w:highlight w:val="none"/>
        </w:rPr>
        <w:t>磋商小组由采购人代表和有关技术、经济等方面的专家组成，且人员构成符合政府采购有关规定。</w:t>
      </w:r>
      <w:bookmarkEnd w:id="61"/>
      <w:r>
        <w:rPr>
          <w:rFonts w:hint="eastAsia" w:ascii="Times New Roman" w:hAnsi="Times New Roman" w:cs="仿宋"/>
          <w:color w:val="auto"/>
          <w:sz w:val="24"/>
          <w:highlight w:val="none"/>
        </w:rPr>
        <w:t>磋商小组负责具体评审事务，按客观、公正、审慎的原则独立履行相关职责。</w:t>
      </w:r>
    </w:p>
    <w:p w14:paraId="40C9B7BA">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17、磋商程序</w:t>
      </w:r>
    </w:p>
    <w:p w14:paraId="159A39E2">
      <w:pPr>
        <w:spacing w:line="4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17.1资格审查</w:t>
      </w:r>
    </w:p>
    <w:p w14:paraId="58AB4860">
      <w:pPr>
        <w:spacing w:line="4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由磋商小组依据法律法规和磋商文件的规定，对响应文件中的资格证明文件进行审查，以确定供应商是否具备参加磋商的资格。</w:t>
      </w:r>
    </w:p>
    <w:p w14:paraId="3E046A56">
      <w:pPr>
        <w:spacing w:line="460" w:lineRule="exact"/>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信用信息查询：磋商小组查询供应商的信用信息，以确定供应商是否具备磋商资格。查询结果留存并归档。</w:t>
      </w:r>
    </w:p>
    <w:p w14:paraId="4A702874">
      <w:pPr>
        <w:spacing w:line="480" w:lineRule="exact"/>
        <w:ind w:firstLine="48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17.2符合性审查</w:t>
      </w:r>
    </w:p>
    <w:p w14:paraId="4BCCC15B">
      <w:pPr>
        <w:spacing w:line="480" w:lineRule="exact"/>
        <w:ind w:firstLine="48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17.2.1依据磋商文件的规定，由磋商小组从响应文件的有效性、完整性和对磋商文件的响应程度进行审查，以确定是否对磋商文件的实质性要求作出响应。</w:t>
      </w:r>
    </w:p>
    <w:p w14:paraId="0922AA63">
      <w:pPr>
        <w:spacing w:line="480" w:lineRule="exact"/>
        <w:ind w:firstLine="480"/>
        <w:rPr>
          <w:rFonts w:ascii="Times New Roman" w:hAnsi="Times New Roman" w:cs="仿宋"/>
          <w:color w:val="auto"/>
          <w:sz w:val="24"/>
          <w:highlight w:val="none"/>
        </w:rPr>
      </w:pPr>
      <w:r>
        <w:rPr>
          <w:rFonts w:hint="eastAsia" w:ascii="Times New Roman" w:hAnsi="Times New Roman"/>
          <w:color w:val="auto"/>
          <w:sz w:val="24"/>
          <w:szCs w:val="24"/>
          <w:highlight w:val="none"/>
        </w:rPr>
        <w:t>17.2.2在详细评审之前，磋商小组将首先审查每份响应文件是否实质性响应了磋商文件的要求。实质性响应的响应文件应该是与磋商文件要求的条款、条件和规格相符，没有重大偏离。所谓重大偏离是指与磋商文件规定的实质性要求存在负偏离，或者在实质上与磋商文件不一致，纠正这些偏离将会对其他实质性响应要求的供应商的竞争产生不公正的影响。重大偏离由磋商小组按照少数服从多数的原则认定。</w:t>
      </w:r>
    </w:p>
    <w:p w14:paraId="11EF41C7">
      <w:pPr>
        <w:spacing w:line="480" w:lineRule="exact"/>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1"/>
          <w:highlight w:val="none"/>
        </w:rPr>
        <w:t>17.3未通过资格审查或符合性审查的供应商，磋商小组将在</w:t>
      </w:r>
      <w:r>
        <w:rPr>
          <w:rFonts w:hint="eastAsia" w:ascii="Times New Roman" w:hAnsi="Times New Roman"/>
          <w:color w:val="auto"/>
          <w:sz w:val="24"/>
          <w:szCs w:val="24"/>
          <w:highlight w:val="none"/>
        </w:rPr>
        <w:t>“苏采云”系统</w:t>
      </w:r>
      <w:r>
        <w:rPr>
          <w:rFonts w:hint="eastAsia"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22BB306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17.4磋商小组认定响应文件的响应性，仅根据响应文件本身的内容，而不寻求外部的证据。对于未实质性响应的响应文件，供应商不能通过修正或撤销不符之处，而使其成为实质性响应。</w:t>
      </w:r>
    </w:p>
    <w:p w14:paraId="023CD9B4">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17.5相同品牌产品响应</w:t>
      </w:r>
    </w:p>
    <w:p w14:paraId="737892A6">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提供相同品牌产品且通过资格审查、符合性审查的不同供应商参加同一合同项下响应的，按一家供应商计算，评审后得分最高的同品牌供应商获得成交供应商推荐资格；评审得分相同的，报价最低的同品牌供应商获得成交供应商推荐资格；评审得分且报价相同的，采取随机抽取方式确定，其他同品牌供应商不作为成交候选人。</w:t>
      </w:r>
    </w:p>
    <w:p w14:paraId="739ED65A">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17.6磋商</w:t>
      </w:r>
    </w:p>
    <w:p w14:paraId="2F9228C4">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17.6.1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1532BA9A">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17.6.2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562D5FCA">
      <w:pPr>
        <w:spacing w:line="480" w:lineRule="exact"/>
        <w:ind w:firstLine="480" w:firstLineChars="200"/>
        <w:rPr>
          <w:rFonts w:ascii="Times New Roman" w:hAnsi="Times New Roman" w:cs="仿宋"/>
          <w:color w:val="auto"/>
          <w:sz w:val="24"/>
          <w:highlight w:val="none"/>
        </w:rPr>
      </w:pPr>
      <w:r>
        <w:rPr>
          <w:rFonts w:hint="eastAsia" w:ascii="Times New Roman" w:hAnsi="Times New Roman"/>
          <w:bCs/>
          <w:color w:val="auto"/>
          <w:sz w:val="24"/>
          <w:szCs w:val="21"/>
          <w:highlight w:val="none"/>
        </w:rPr>
        <w:t>17.7有关问题的澄清</w:t>
      </w:r>
    </w:p>
    <w:p w14:paraId="25C0AAEA">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对磋商文件中含义不明确、同类问题表述不一致或者有明显文字和计算错误的内容，磋商小组通过“苏采云”系统向供应商发出“澄清要求函”，要求供应商作出必要的澄清、说明或者更正。供应商的澄清、说明或者更正应当采用书面形式且不得超出响应文件的范围或者改变响应文件的实质性内容。供应商的澄清、说明或者更正应加盖电子公章，或者由法定代表人或其授权的代表签章（或签字）。澄清、说明或者更正的内容作为响应文件的补充部分。</w:t>
      </w:r>
    </w:p>
    <w:p w14:paraId="6B69A760">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1"/>
          <w:highlight w:val="none"/>
        </w:rPr>
        <w:t>17.8最后报价</w:t>
      </w:r>
    </w:p>
    <w:p w14:paraId="4F46FBF2">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cs="仿宋"/>
          <w:color w:val="auto"/>
          <w:sz w:val="24"/>
          <w:highlight w:val="none"/>
        </w:rPr>
        <w:t>17.8.1磋商结束后，磋商小组将在“苏采云”系统向所有实质性响应的供应商发布“最后报价要求函”及最后报价格式表，并要求在规定时间内提交最后报价。在提交最后报价之前，供应商可以根据情况退出磋商，并在“苏采云”系统中提交“退出磋商函”并加盖CA电子公章。因供应商原因导致未提交最后报价或供应商退出磋商的，磋商小组应将其作为无效标处理。最后报价是供应商响应文件的有效组成部分。</w:t>
      </w:r>
      <w:bookmarkStart w:id="62" w:name="EB7c676092b0b54336b4f7c76350bf2f81"/>
    </w:p>
    <w:p w14:paraId="713C464E">
      <w:pPr>
        <w:tabs>
          <w:tab w:val="left" w:pos="900"/>
        </w:tabs>
        <w:spacing w:line="480" w:lineRule="exact"/>
        <w:ind w:firstLine="482" w:firstLineChars="200"/>
        <w:rPr>
          <w:rFonts w:ascii="Times New Roman" w:hAnsi="Times New Roman"/>
          <w:color w:val="auto"/>
          <w:sz w:val="24"/>
          <w:szCs w:val="24"/>
          <w:highlight w:val="none"/>
        </w:rPr>
      </w:pPr>
      <w:r>
        <w:rPr>
          <w:rFonts w:hint="eastAsia" w:ascii="Times New Roman" w:hAnsi="Times New Roman" w:cs="仿宋"/>
          <w:b/>
          <w:color w:val="auto"/>
          <w:sz w:val="24"/>
          <w:highlight w:val="none"/>
        </w:rPr>
        <w:t>17.8.2最后报价在“苏采云”系统内进行，供应商应使用内含电子印章（企业公章、法定代表人或授权代表签章）的CA证书在平台设定的时限内进行最后报价。报价所需的计算机设备和网络由供应商自行准备。除因系统故障导致所有供应商均不能报价情形外，本项目不接受纸质的报价文件。</w:t>
      </w:r>
    </w:p>
    <w:p w14:paraId="306224E9">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cs="仿宋"/>
          <w:color w:val="auto"/>
          <w:sz w:val="24"/>
          <w:highlight w:val="none"/>
        </w:rPr>
        <w:t>17.8.3供应商在首次响应文件中的报价为首次报价。最后报价是供应商响应文件的有效组成部分。最后报价时如磋商小组未要求分项报价的，供应商各分项报价按首次报价（总价）与最后报价（总价）比例进行同比调整。</w:t>
      </w:r>
      <w:bookmarkEnd w:id="62"/>
    </w:p>
    <w:p w14:paraId="402EBAD0">
      <w:pPr>
        <w:tabs>
          <w:tab w:val="left" w:pos="900"/>
        </w:tabs>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17.8.4磋商报价表中大、小写应一致，如出现不一致情况的，以大写为准。磋商报价表内容与分项报价表内容应一致。如出现不一致情况，以磋商报价表内容为准，修正分项报价表。</w:t>
      </w:r>
    </w:p>
    <w:p w14:paraId="5BC191EE">
      <w:pPr>
        <w:tabs>
          <w:tab w:val="left" w:pos="900"/>
        </w:tabs>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17.8.5项目评审中，不得去掉最后报价中的最高报价和最低报价。</w:t>
      </w:r>
    </w:p>
    <w:p w14:paraId="2C084588">
      <w:pPr>
        <w:tabs>
          <w:tab w:val="left" w:pos="900"/>
        </w:tabs>
        <w:spacing w:line="480" w:lineRule="exact"/>
        <w:ind w:firstLine="480" w:firstLineChars="200"/>
        <w:rPr>
          <w:rFonts w:ascii="Times New Roman" w:hAnsi="Times New Roman"/>
          <w:color w:val="auto"/>
          <w:sz w:val="24"/>
          <w:szCs w:val="24"/>
          <w:highlight w:val="none"/>
        </w:rPr>
      </w:pPr>
      <w:r>
        <w:rPr>
          <w:rFonts w:hint="eastAsia" w:ascii="Times New Roman" w:hAnsi="Times New Roman" w:cs="仿宋"/>
          <w:color w:val="auto"/>
          <w:sz w:val="24"/>
          <w:highlight w:val="none"/>
        </w:rPr>
        <w:t>17.8.6</w:t>
      </w:r>
      <w:r>
        <w:rPr>
          <w:rFonts w:hint="eastAsia" w:ascii="Times New Roman" w:hAnsi="Times New Roman"/>
          <w:color w:val="auto"/>
          <w:sz w:val="24"/>
          <w:szCs w:val="24"/>
          <w:highlight w:val="none"/>
        </w:rPr>
        <w:t>符合《政府采购竞争性磋商采购方</w:t>
      </w:r>
      <w:r>
        <w:rPr>
          <w:rFonts w:hint="eastAsia" w:ascii="Times New Roman" w:hAnsi="Times New Roman"/>
          <w:color w:val="auto"/>
          <w:sz w:val="24"/>
          <w:szCs w:val="24"/>
          <w:highlight w:val="none"/>
          <w:lang w:eastAsia="zh-CN"/>
        </w:rPr>
        <w:t>式管</w:t>
      </w:r>
      <w:r>
        <w:rPr>
          <w:rFonts w:hint="eastAsia" w:ascii="Times New Roman" w:hAnsi="Times New Roman"/>
          <w:color w:val="auto"/>
          <w:sz w:val="24"/>
          <w:szCs w:val="24"/>
          <w:highlight w:val="none"/>
        </w:rPr>
        <w:t>理暂行办法》第三条第一款第四项及《财政部关于竞争性磋商采购方式管理暂行办法有关问题的补充通知》（财库</w:t>
      </w:r>
      <w:r>
        <w:rPr>
          <w:rFonts w:hint="eastAsia" w:ascii="Times New Roman" w:hAnsi="Times New Roman"/>
          <w:color w:val="auto"/>
          <w:sz w:val="24"/>
          <w:szCs w:val="24"/>
          <w:highlight w:val="none"/>
          <w:lang w:eastAsia="zh-CN"/>
        </w:rPr>
        <w:t>〔2015〕124号</w:t>
      </w:r>
      <w:r>
        <w:rPr>
          <w:rFonts w:hint="eastAsia" w:ascii="Times New Roman" w:hAnsi="Times New Roman"/>
          <w:color w:val="auto"/>
          <w:sz w:val="24"/>
          <w:szCs w:val="24"/>
          <w:highlight w:val="none"/>
        </w:rPr>
        <w:t>）规定情形的，提交最后报价的供应商可以为2家。</w:t>
      </w:r>
    </w:p>
    <w:p w14:paraId="546045BA">
      <w:pPr>
        <w:tabs>
          <w:tab w:val="left" w:pos="900"/>
        </w:tabs>
        <w:spacing w:line="480" w:lineRule="exact"/>
        <w:ind w:firstLine="480" w:firstLineChars="200"/>
        <w:rPr>
          <w:rFonts w:ascii="Times New Roman" w:hAnsi="Times New Roman"/>
          <w:color w:val="auto"/>
          <w:sz w:val="24"/>
          <w:szCs w:val="24"/>
          <w:highlight w:val="none"/>
        </w:rPr>
      </w:pPr>
      <w:bookmarkStart w:id="63" w:name="_Toc141869966"/>
      <w:r>
        <w:rPr>
          <w:rFonts w:hint="eastAsia" w:ascii="Times New Roman" w:hAnsi="Times New Roman"/>
          <w:bCs/>
          <w:color w:val="auto"/>
          <w:sz w:val="24"/>
          <w:szCs w:val="21"/>
          <w:highlight w:val="none"/>
        </w:rPr>
        <w:t>17.9推荐成交候选供应商</w:t>
      </w:r>
    </w:p>
    <w:p w14:paraId="0C5FC9D0">
      <w:pPr>
        <w:tabs>
          <w:tab w:val="left" w:pos="900"/>
        </w:tabs>
        <w:spacing w:after="120" w:afterLines="50" w:line="480" w:lineRule="exact"/>
        <w:ind w:firstLine="477" w:firstLineChars="199"/>
        <w:rPr>
          <w:rFonts w:ascii="Times New Roman" w:hAnsi="Times New Roman" w:cs="仿宋"/>
          <w:color w:val="auto"/>
          <w:sz w:val="24"/>
          <w:highlight w:val="none"/>
        </w:rPr>
      </w:pPr>
      <w:bookmarkStart w:id="64" w:name="OLE_LINK5"/>
      <w:r>
        <w:rPr>
          <w:rFonts w:hint="eastAsia" w:ascii="Times New Roman" w:hAnsi="Times New Roman" w:cs="仿宋"/>
          <w:color w:val="auto"/>
          <w:sz w:val="24"/>
          <w:highlight w:val="none"/>
        </w:rPr>
        <w:t>磋商小组根据综合评分情况，按照评审得分由高到低顺序推荐3名成交候选供应商，并编写评审报告</w:t>
      </w:r>
      <w:bookmarkEnd w:id="64"/>
      <w:r>
        <w:rPr>
          <w:rFonts w:hint="eastAsia" w:ascii="Times New Roman" w:hAnsi="Times New Roman" w:cs="仿宋"/>
          <w:color w:val="auto"/>
          <w:sz w:val="24"/>
          <w:highlight w:val="none"/>
        </w:rPr>
        <w:t>。符合本磋商文件17.8.</w:t>
      </w:r>
      <w:r>
        <w:rPr>
          <w:rFonts w:hint="eastAsia" w:ascii="Times New Roman" w:hAnsi="Times New Roman" w:cs="仿宋"/>
          <w:color w:val="auto"/>
          <w:sz w:val="24"/>
          <w:highlight w:val="none"/>
          <w:lang w:val="en-US" w:eastAsia="zh-CN"/>
        </w:rPr>
        <w:t>6</w:t>
      </w:r>
      <w:r>
        <w:rPr>
          <w:rFonts w:hint="eastAsia" w:ascii="Times New Roman" w:hAnsi="Times New Roman" w:cs="仿宋"/>
          <w:color w:val="auto"/>
          <w:sz w:val="24"/>
          <w:highlight w:val="none"/>
        </w:rPr>
        <w:t>情形的，可以推荐2名成交候选供应商。评审得分相同的，按照最后报价由低到高的顺序推荐。评审得分且最后报价相同的，按照技术指标优劣顺序推荐。</w:t>
      </w:r>
    </w:p>
    <w:p w14:paraId="51CDF0DA">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六、无效响应、采购活动终止、</w:t>
      </w:r>
      <w:bookmarkEnd w:id="63"/>
      <w:r>
        <w:rPr>
          <w:rFonts w:hint="eastAsia" w:ascii="黑体" w:hAnsi="黑体" w:eastAsia="黑体" w:cs="黑体"/>
          <w:b w:val="0"/>
          <w:bCs w:val="0"/>
          <w:color w:val="auto"/>
          <w:sz w:val="32"/>
          <w:highlight w:val="none"/>
        </w:rPr>
        <w:t>恶意串通及取消成交候选资格情形</w:t>
      </w:r>
    </w:p>
    <w:p w14:paraId="649DAF30">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18、无效响应情形</w:t>
      </w:r>
    </w:p>
    <w:p w14:paraId="1056B608">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18.1供应商同一采购包提交两个以上（含两个）不同的响应文件或者最后报价的。</w:t>
      </w:r>
    </w:p>
    <w:p w14:paraId="69921277">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18.2供应商不符合磋商文件规定资格要求的或响应文件未按规定提交资质证件的。</w:t>
      </w:r>
    </w:p>
    <w:p w14:paraId="23DB5CF6">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18.3供应商的报价超过了采购预算或最高限价的。</w:t>
      </w:r>
    </w:p>
    <w:p w14:paraId="318A1B44">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18.4响应文件未通过符合性审查的。</w:t>
      </w:r>
    </w:p>
    <w:p w14:paraId="1A44C7A3">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18.5响应文件出现重大偏离，不符合磋商文件中规定的实质性要求的（★部分为实质性要求）。</w:t>
      </w:r>
    </w:p>
    <w:p w14:paraId="5BAB7A13">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18.6响应文件未按照磋商文件要求加盖CA电子公章的。</w:t>
      </w:r>
    </w:p>
    <w:p w14:paraId="5C771E24">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18.7政务信息系统采购中，磋商小组认为供应商报价明显低于其他合格供应商的报价，有可能影响产品质量或者不能诚信履约的，且供应商不能在合理的时间内提供说明，证明其报价合理性的。</w:t>
      </w:r>
    </w:p>
    <w:p w14:paraId="60CC32DA">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18.8响应文件含有采购人不能接受的附加条件的。</w:t>
      </w:r>
    </w:p>
    <w:p w14:paraId="14C7C4FE">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18.9供应商有本磋商文件规定的恶意串通情形的。</w:t>
      </w:r>
    </w:p>
    <w:p w14:paraId="4EDCF80C">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18.10法律、法规规定的其它情况。</w:t>
      </w:r>
    </w:p>
    <w:p w14:paraId="0E24D1E8">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19、采购活动终止情形</w:t>
      </w:r>
    </w:p>
    <w:p w14:paraId="35957A30">
      <w:pPr>
        <w:spacing w:line="480" w:lineRule="exact"/>
        <w:ind w:firstLine="482"/>
        <w:rPr>
          <w:rFonts w:ascii="Times New Roman" w:hAnsi="Times New Roman" w:cs="仿宋"/>
          <w:bCs/>
          <w:color w:val="auto"/>
          <w:sz w:val="24"/>
          <w:highlight w:val="none"/>
        </w:rPr>
      </w:pPr>
      <w:r>
        <w:rPr>
          <w:rFonts w:hint="eastAsia" w:ascii="Times New Roman" w:hAnsi="Times New Roman" w:cs="仿宋"/>
          <w:bCs/>
          <w:color w:val="auto"/>
          <w:sz w:val="24"/>
          <w:highlight w:val="none"/>
        </w:rPr>
        <w:t>19.1因情况变化，不再符合规定的竞争性磋商采购方式适用情形的；</w:t>
      </w:r>
    </w:p>
    <w:p w14:paraId="427D532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19.2符合专业条件的供应商或者对磋商文件作实质响应的供应商不足3家的（符合17.8.6情形除外）。</w:t>
      </w:r>
    </w:p>
    <w:p w14:paraId="5CEC2FE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19.3出现影响采购公正的违法、违规行为的。</w:t>
      </w:r>
    </w:p>
    <w:p w14:paraId="6BF75D6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19.4因重大变故，采购任务取消的。</w:t>
      </w:r>
    </w:p>
    <w:p w14:paraId="0BC63A9E">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19.5磋商小组认定磋商文件存在歧义、重大缺陷导致评审工作无法进行。</w:t>
      </w:r>
    </w:p>
    <w:p w14:paraId="4EC373E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19.6在苏采云系统规定时间内成功解密电子响应文件的供应商不足3家的。</w:t>
      </w:r>
    </w:p>
    <w:p w14:paraId="3B430B3D">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20、恶意串通情形</w:t>
      </w:r>
    </w:p>
    <w:p w14:paraId="1612E93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20.1供应商直接或间接从采购人或采购代理机构处获得其他供应商的相关情况并修改其响应文件；</w:t>
      </w:r>
    </w:p>
    <w:p w14:paraId="6E89DCD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20.2供应商接受采购人或采购代理机构授意撤换、修改响应文件；</w:t>
      </w:r>
    </w:p>
    <w:p w14:paraId="39E8FEBD">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20.3供应商之间协商报价、技术方案等响应文件实质性内容；</w:t>
      </w:r>
    </w:p>
    <w:p w14:paraId="3A817725">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20.4属于同一集团、协会、商会等组织成员的供应商按照该组织要求协同参与政府采购活动的；</w:t>
      </w:r>
    </w:p>
    <w:p w14:paraId="13C4A22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20.5供应商之间事先约定由某一特定供应商成交；</w:t>
      </w:r>
    </w:p>
    <w:p w14:paraId="798D9897">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20.6供应商之间商定部分供应商放弃参加政府采购活动或者放弃成交；</w:t>
      </w:r>
    </w:p>
    <w:p w14:paraId="4823E4AC">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20.7供应商与采购人或采购代理机构之间、供应商相互之间为谋求特定供应商成交或者排斥其他供应商的其他串通行为。</w:t>
      </w:r>
    </w:p>
    <w:p w14:paraId="2408723A">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21、</w:t>
      </w:r>
      <w:bookmarkStart w:id="65" w:name="OLE_LINK2"/>
      <w:r>
        <w:rPr>
          <w:rFonts w:hint="eastAsia" w:ascii="Times New Roman" w:hAnsi="Times New Roman" w:cs="仿宋"/>
          <w:b/>
          <w:color w:val="auto"/>
          <w:sz w:val="24"/>
          <w:highlight w:val="none"/>
        </w:rPr>
        <w:t>取消成交（候选）供应商资格</w:t>
      </w:r>
      <w:bookmarkEnd w:id="65"/>
      <w:r>
        <w:rPr>
          <w:rFonts w:hint="eastAsia" w:ascii="Times New Roman" w:hAnsi="Times New Roman" w:cs="仿宋"/>
          <w:b/>
          <w:color w:val="auto"/>
          <w:sz w:val="24"/>
          <w:highlight w:val="none"/>
        </w:rPr>
        <w:t>条款</w:t>
      </w:r>
    </w:p>
    <w:p w14:paraId="7312E97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21.1提供虚假材料谋取成交的；</w:t>
      </w:r>
    </w:p>
    <w:p w14:paraId="3792941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21.2采取不正当手段诋毁、排挤其他供应商的；</w:t>
      </w:r>
    </w:p>
    <w:p w14:paraId="0D48939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21.3与采购人、其他供应商或者采购代理机构恶意串通的；</w:t>
      </w:r>
    </w:p>
    <w:p w14:paraId="3453FD0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21.4向采购人、采购代理机构行贿或者提供其他不正当利益的；</w:t>
      </w:r>
    </w:p>
    <w:p w14:paraId="151DB25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21.5未在规定时间内与采购人签订采购合同的；</w:t>
      </w:r>
    </w:p>
    <w:p w14:paraId="2F50203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21.6法律、法规规定的其它情况。</w:t>
      </w:r>
    </w:p>
    <w:p w14:paraId="2FF142BD">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66" w:name="_Toc141869968"/>
      <w:r>
        <w:rPr>
          <w:rFonts w:hint="eastAsia" w:ascii="黑体" w:hAnsi="黑体" w:eastAsia="黑体" w:cs="黑体"/>
          <w:b w:val="0"/>
          <w:bCs w:val="0"/>
          <w:color w:val="auto"/>
          <w:sz w:val="32"/>
          <w:highlight w:val="none"/>
        </w:rPr>
        <w:t>七、成交及合同签订</w:t>
      </w:r>
      <w:bookmarkEnd w:id="66"/>
    </w:p>
    <w:p w14:paraId="559A1531">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22、确定成交供应商</w:t>
      </w:r>
    </w:p>
    <w:p w14:paraId="132BCC0D">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22.1采购人应当在收到评审报告后5个工作日内，从评审报告提出的成交候选供应商中，按照排序由高到低的原则确定成交供应商。</w:t>
      </w:r>
    </w:p>
    <w:p w14:paraId="123FBAA2">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22.2在成交供应商确定后2个工作日内，采购人或采购代理机构将在财政部门指定信息媒体上发布成交结果，成交公告的公告期限为1个工作日。</w:t>
      </w:r>
    </w:p>
    <w:p w14:paraId="1D88E6F6">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22.3采购人确定正被列为失信被执行人的供应商为成交人的，成交结果无效。</w:t>
      </w:r>
    </w:p>
    <w:p w14:paraId="28113A1E">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23、成交通知书</w:t>
      </w:r>
    </w:p>
    <w:p w14:paraId="37EF6711">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23.1在公告成交结果的同时，采购代理机构向成交供应商发出成交通知书。成交供应商使用CA数字证书登录“苏采云”系统及时下载成交通知书。</w:t>
      </w:r>
    </w:p>
    <w:p w14:paraId="7651CCAA">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23.2</w:t>
      </w:r>
      <w:r>
        <w:rPr>
          <w:rFonts w:hint="eastAsia" w:ascii="宋体" w:hAnsi="宋体"/>
          <w:color w:val="auto"/>
          <w:sz w:val="24"/>
          <w:szCs w:val="24"/>
          <w:highlight w:val="none"/>
        </w:rPr>
        <w:t>成交通知书发出后，采购人改变成交结果的或者成交供应商放弃成交项目的，应当依法承担法律责任。</w:t>
      </w:r>
    </w:p>
    <w:p w14:paraId="3B259FA0">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24、签订和公告合同</w:t>
      </w:r>
    </w:p>
    <w:p w14:paraId="2D699F5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24.1采购人与成交供应商应当在成交通知书发出之日起15日内</w:t>
      </w:r>
      <w:r>
        <w:rPr>
          <w:rFonts w:hint="eastAsia" w:ascii="宋体" w:hAnsi="宋体"/>
          <w:color w:val="auto"/>
          <w:sz w:val="24"/>
          <w:szCs w:val="24"/>
          <w:highlight w:val="none"/>
        </w:rPr>
        <w:t>，按照磋商文件确定的事项与采购人签订政府采购合同。</w:t>
      </w:r>
      <w:r>
        <w:rPr>
          <w:rFonts w:hint="eastAsia" w:ascii="Times New Roman" w:hAnsi="Times New Roman" w:cs="仿宋"/>
          <w:color w:val="auto"/>
          <w:sz w:val="24"/>
          <w:highlight w:val="none"/>
        </w:rPr>
        <w:t>竞争性磋商文件、成交供应商的响应文件以及磋商过程中有关澄清文件均作为合同附件。</w:t>
      </w:r>
    </w:p>
    <w:p w14:paraId="481344E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24.2成交供应商拒绝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2647C39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24.3采购人在自合同签订之日起2个工作日内，将合同在指定的媒体上公告。</w:t>
      </w:r>
    </w:p>
    <w:p w14:paraId="2A263D23">
      <w:pPr>
        <w:spacing w:line="480" w:lineRule="exact"/>
        <w:ind w:firstLine="482" w:firstLineChars="200"/>
        <w:rPr>
          <w:rFonts w:ascii="Times New Roman" w:hAnsi="Times New Roman" w:cs="仿宋"/>
          <w:b/>
          <w:color w:val="auto"/>
          <w:sz w:val="24"/>
          <w:highlight w:val="none"/>
        </w:rPr>
      </w:pPr>
      <w:bookmarkStart w:id="67" w:name="_Toc141869969"/>
      <w:r>
        <w:rPr>
          <w:rFonts w:hint="eastAsia" w:ascii="Times New Roman" w:hAnsi="Times New Roman" w:cs="仿宋"/>
          <w:b/>
          <w:color w:val="auto"/>
          <w:sz w:val="24"/>
          <w:highlight w:val="none"/>
        </w:rPr>
        <w:t>25、履约保证金</w:t>
      </w:r>
    </w:p>
    <w:p w14:paraId="180428AE">
      <w:pPr>
        <w:spacing w:line="480" w:lineRule="exact"/>
        <w:ind w:firstLine="480" w:firstLineChars="200"/>
        <w:rPr>
          <w:rFonts w:ascii="Times New Roman" w:hAnsi="Times New Roman" w:cs="仿宋"/>
          <w:color w:val="auto"/>
          <w:sz w:val="24"/>
          <w:highlight w:val="none"/>
          <w:lang w:val="zh-CN"/>
        </w:rPr>
      </w:pPr>
      <w:r>
        <w:rPr>
          <w:rFonts w:hint="eastAsia" w:ascii="Times New Roman" w:hAnsi="Times New Roman" w:cs="仿宋"/>
          <w:color w:val="auto"/>
          <w:sz w:val="24"/>
          <w:highlight w:val="none"/>
          <w:lang w:val="zh-CN"/>
        </w:rPr>
        <w:t>按照以下第</w:t>
      </w:r>
      <w:r>
        <w:rPr>
          <w:rFonts w:hint="eastAsia" w:ascii="Times New Roman" w:hAnsi="Times New Roman" w:cs="仿宋"/>
          <w:color w:val="FF0000"/>
          <w:sz w:val="24"/>
          <w:highlight w:val="yellow"/>
          <w:u w:val="single"/>
        </w:rPr>
        <w:t>（</w:t>
      </w:r>
      <w:r>
        <w:rPr>
          <w:rFonts w:hint="eastAsia" w:ascii="Times New Roman" w:hAnsi="Times New Roman" w:cs="仿宋"/>
          <w:color w:val="FF0000"/>
          <w:sz w:val="24"/>
          <w:highlight w:val="yellow"/>
          <w:u w:val="single"/>
          <w:lang w:val="en-US" w:eastAsia="zh-CN"/>
        </w:rPr>
        <w:t>2</w:t>
      </w:r>
      <w:r>
        <w:rPr>
          <w:rFonts w:hint="eastAsia" w:ascii="Times New Roman" w:hAnsi="Times New Roman" w:cs="仿宋"/>
          <w:color w:val="FF0000"/>
          <w:sz w:val="24"/>
          <w:highlight w:val="yellow"/>
          <w:u w:val="single"/>
        </w:rPr>
        <w:t>）</w:t>
      </w:r>
      <w:r>
        <w:rPr>
          <w:rFonts w:hint="eastAsia" w:ascii="Times New Roman" w:hAnsi="Times New Roman" w:cs="仿宋"/>
          <w:color w:val="auto"/>
          <w:sz w:val="24"/>
          <w:highlight w:val="none"/>
          <w:lang w:val="zh-CN"/>
        </w:rPr>
        <w:t>方式确定履约保证</w:t>
      </w:r>
      <w:r>
        <w:rPr>
          <w:rFonts w:hint="eastAsia" w:ascii="Times New Roman" w:hAnsi="Times New Roman" w:cs="仿宋"/>
          <w:color w:val="auto"/>
          <w:sz w:val="24"/>
          <w:highlight w:val="none"/>
        </w:rPr>
        <w:t>金</w:t>
      </w:r>
      <w:r>
        <w:rPr>
          <w:rFonts w:hint="eastAsia" w:ascii="Times New Roman" w:hAnsi="Times New Roman" w:cs="仿宋"/>
          <w:color w:val="auto"/>
          <w:sz w:val="24"/>
          <w:highlight w:val="none"/>
          <w:lang w:val="zh-CN"/>
        </w:rPr>
        <w:t>收取方式。</w:t>
      </w:r>
    </w:p>
    <w:p w14:paraId="72996131">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（1）本项目不收取履约保证金。</w:t>
      </w:r>
    </w:p>
    <w:p w14:paraId="013287AC">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（2）本项目收取履约保证金。</w:t>
      </w:r>
    </w:p>
    <w:p w14:paraId="0A8B7022">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25.1履约保证金提交形式</w:t>
      </w:r>
    </w:p>
    <w:p w14:paraId="225986F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履约保证金应在采购合同签订前提交，除银行电汇、网上银行、数字人民币外，供应商还可选用银行保函、担保公司的保证担保或保险公司的保证保险等多种形式向采购人缴纳。</w:t>
      </w:r>
    </w:p>
    <w:p w14:paraId="5F9C9DE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25.2履约保证金提交金额</w:t>
      </w:r>
    </w:p>
    <w:p w14:paraId="1663283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按采购合同总价的</w:t>
      </w:r>
      <w:r>
        <w:rPr>
          <w:rFonts w:hint="eastAsia" w:ascii="Times New Roman" w:hAnsi="Times New Roman" w:cs="仿宋"/>
          <w:color w:val="auto"/>
          <w:sz w:val="24"/>
          <w:highlight w:val="yellow"/>
          <w:u w:val="single"/>
          <w:lang w:val="en-US" w:eastAsia="zh-CN"/>
        </w:rPr>
        <w:t>5</w:t>
      </w:r>
      <w:r>
        <w:rPr>
          <w:rFonts w:hint="eastAsia" w:ascii="Times New Roman" w:hAnsi="Times New Roman" w:cs="仿宋"/>
          <w:color w:val="auto"/>
          <w:sz w:val="24"/>
          <w:highlight w:val="none"/>
        </w:rPr>
        <w:t>%提交。</w:t>
      </w:r>
    </w:p>
    <w:p w14:paraId="7509732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支持和鼓励成交供应商使用江苏政府采购电子履约保函（保险）代替缴纳履约保证金，成交供应商如使用江苏政府采购电子履约保函（保险）的，可按采购合同总价的</w:t>
      </w:r>
      <w:r>
        <w:rPr>
          <w:rFonts w:hint="eastAsia" w:ascii="Times New Roman" w:hAnsi="Times New Roman" w:cs="仿宋"/>
          <w:color w:val="auto"/>
          <w:sz w:val="24"/>
          <w:highlight w:val="yellow"/>
          <w:u w:val="single"/>
          <w:lang w:val="en-US" w:eastAsia="zh-CN"/>
        </w:rPr>
        <w:t>3</w:t>
      </w:r>
      <w:r>
        <w:rPr>
          <w:rFonts w:hint="eastAsia" w:ascii="Times New Roman" w:hAnsi="Times New Roman" w:cs="仿宋"/>
          <w:color w:val="auto"/>
          <w:sz w:val="24"/>
          <w:highlight w:val="none"/>
        </w:rPr>
        <w:t>% （</w:t>
      </w:r>
      <w:bookmarkStart w:id="68" w:name="_Hlk187763955"/>
      <w:r>
        <w:rPr>
          <w:rFonts w:hint="eastAsia" w:ascii="Times New Roman" w:hAnsi="Times New Roman" w:cs="仿宋"/>
          <w:color w:val="auto"/>
          <w:sz w:val="24"/>
          <w:highlight w:val="none"/>
        </w:rPr>
        <w:t>履约保证金原提交金额的6折</w:t>
      </w:r>
      <w:bookmarkEnd w:id="68"/>
      <w:r>
        <w:rPr>
          <w:rFonts w:hint="eastAsia" w:ascii="Times New Roman" w:hAnsi="Times New Roman" w:cs="仿宋"/>
          <w:color w:val="auto"/>
          <w:sz w:val="24"/>
          <w:highlight w:val="none"/>
        </w:rPr>
        <w:t>）提交。</w:t>
      </w:r>
      <w:bookmarkStart w:id="69" w:name="_Hlk187842952"/>
      <w:r>
        <w:rPr>
          <w:rFonts w:hint="eastAsia" w:ascii="Times New Roman" w:hAnsi="Times New Roman" w:cs="仿宋"/>
          <w:color w:val="auto"/>
          <w:sz w:val="24"/>
          <w:highlight w:val="none"/>
        </w:rPr>
        <w:t>办理流程、偿付等内容见江苏政府采购网“保险保函”模块。</w:t>
      </w:r>
    </w:p>
    <w:bookmarkEnd w:id="69"/>
    <w:p w14:paraId="0692B3F3">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25.3履约保证金退还方式</w:t>
      </w:r>
    </w:p>
    <w:p w14:paraId="450E279A">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以银行电汇、网上银行、数字人民币形式缴纳履约保证金的，退回至成交供应商存款账户或数字人民币账户；以保函、担保、保险等形式缴纳履约保证金的，在保函、担保、保险约定的保证期限届满之日起自行失效。</w:t>
      </w:r>
    </w:p>
    <w:p w14:paraId="4B120CD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25.4履约保证金退还条件</w:t>
      </w:r>
    </w:p>
    <w:p w14:paraId="0E849D42">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具有验收合格相关证明材料。</w:t>
      </w:r>
    </w:p>
    <w:p w14:paraId="1091A314">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25.5履约保证金退还时间</w:t>
      </w:r>
    </w:p>
    <w:p w14:paraId="3E29EF4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采购人收到成交供应商退付申请后5个工作日内退还。</w:t>
      </w:r>
    </w:p>
    <w:p w14:paraId="69CDA61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25.6履约保证金不予退还情形</w:t>
      </w:r>
    </w:p>
    <w:p w14:paraId="116AF4F7">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除不可抗力外，成交供应商不履行与采购人订立的采购合同的，履约保证金不予退还，给采购人造成的损失超过履约保证金数额的，还应对超过部分予以赔偿。</w:t>
      </w:r>
    </w:p>
    <w:p w14:paraId="4F446B5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25.7逾期退还履约保证金违约责任</w:t>
      </w:r>
    </w:p>
    <w:p w14:paraId="0ED5D62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采购人逾期退还履约保证金的，除应退还履约保证金外，还应按中国人民银行同期贷款基准利率上浮20％后的利率支付超期资金占用费，但因成交供应商自身原因导致无法及时退还的除外。</w:t>
      </w:r>
    </w:p>
    <w:p w14:paraId="3C8438FB">
      <w:pPr>
        <w:spacing w:line="480" w:lineRule="exact"/>
        <w:ind w:firstLine="482" w:firstLineChars="200"/>
        <w:rPr>
          <w:rFonts w:ascii="Times New Roman" w:hAnsi="Times New Roman" w:cs="仿宋"/>
          <w:b/>
          <w:bCs/>
          <w:color w:val="auto"/>
          <w:sz w:val="24"/>
          <w:szCs w:val="24"/>
          <w:highlight w:val="none"/>
        </w:rPr>
      </w:pPr>
      <w:r>
        <w:rPr>
          <w:rFonts w:hint="eastAsia" w:ascii="Times New Roman" w:hAnsi="Times New Roman" w:cs="仿宋"/>
          <w:b/>
          <w:color w:val="auto"/>
          <w:sz w:val="24"/>
          <w:highlight w:val="none"/>
        </w:rPr>
        <w:t>26、线上融资</w:t>
      </w:r>
    </w:p>
    <w:p w14:paraId="378AC73B">
      <w:pPr>
        <w:spacing w:line="480" w:lineRule="exact"/>
        <w:ind w:firstLine="480" w:firstLineChars="200"/>
        <w:rPr>
          <w:rFonts w:ascii="Times New Roman" w:hAnsi="Times New Roman" w:cs="仿宋"/>
          <w:b/>
          <w:bCs/>
          <w:color w:val="auto"/>
          <w:sz w:val="24"/>
          <w:szCs w:val="24"/>
          <w:highlight w:val="none"/>
        </w:rPr>
      </w:pPr>
      <w:r>
        <w:rPr>
          <w:rFonts w:hint="eastAsia" w:ascii="宋体" w:hAnsi="宋体"/>
          <w:bCs/>
          <w:color w:val="auto"/>
          <w:sz w:val="24"/>
          <w:szCs w:val="24"/>
          <w:highlight w:val="none"/>
        </w:rPr>
        <w:t>成交供应商可凭政府采购合同办理融资贷款，详情见江苏政府采购网“政采贷”专栏。</w:t>
      </w:r>
    </w:p>
    <w:p w14:paraId="6209F84D">
      <w:pPr>
        <w:spacing w:line="480" w:lineRule="exact"/>
        <w:ind w:firstLine="482" w:firstLineChars="200"/>
        <w:rPr>
          <w:rFonts w:ascii="Times New Roman" w:hAnsi="Times New Roman" w:cs="仿宋"/>
          <w:color w:val="auto"/>
          <w:sz w:val="24"/>
          <w:highlight w:val="none"/>
        </w:rPr>
      </w:pPr>
      <w:r>
        <w:rPr>
          <w:rFonts w:hint="eastAsia" w:ascii="Times New Roman" w:hAnsi="Times New Roman" w:cs="仿宋"/>
          <w:b/>
          <w:color w:val="auto"/>
          <w:sz w:val="24"/>
          <w:highlight w:val="none"/>
        </w:rPr>
        <w:t>27、合同履行</w:t>
      </w:r>
    </w:p>
    <w:p w14:paraId="338781F5">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27.1政府采购合同订立后，合同各方不得擅自变更、中止或者终止合同。</w:t>
      </w:r>
    </w:p>
    <w:p w14:paraId="709161A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27.2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w:t>
      </w:r>
      <w:r>
        <w:rPr>
          <w:rFonts w:hint="eastAsia" w:ascii="Times New Roman" w:hAnsi="Times New Roman" w:cs="仿宋"/>
          <w:color w:val="auto"/>
          <w:sz w:val="24"/>
          <w:highlight w:val="none"/>
          <w:lang w:eastAsia="zh-CN"/>
        </w:rPr>
        <w:t>额的</w:t>
      </w:r>
      <w:r>
        <w:rPr>
          <w:rFonts w:hint="eastAsia" w:ascii="Times New Roman" w:hAnsi="Times New Roman" w:cs="仿宋"/>
          <w:color w:val="auto"/>
          <w:sz w:val="24"/>
          <w:highlight w:val="none"/>
        </w:rPr>
        <w:t>10%。</w:t>
      </w:r>
    </w:p>
    <w:bookmarkEnd w:id="67"/>
    <w:p w14:paraId="145B3E39">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70" w:name="_Toc141869970"/>
      <w:r>
        <w:rPr>
          <w:rFonts w:hint="eastAsia" w:ascii="黑体" w:hAnsi="黑体" w:eastAsia="黑体" w:cs="黑体"/>
          <w:b w:val="0"/>
          <w:bCs w:val="0"/>
          <w:color w:val="auto"/>
          <w:sz w:val="32"/>
          <w:highlight w:val="none"/>
        </w:rPr>
        <w:t>八、质疑与投诉</w:t>
      </w:r>
      <w:bookmarkEnd w:id="70"/>
    </w:p>
    <w:p w14:paraId="0B6ED75E">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28、质疑</w:t>
      </w:r>
    </w:p>
    <w:p w14:paraId="3648EFA4">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28.1供应商认为采购文件、采购过程和中标结果使自己的权益受到损害的，可以在知道或者应知其权益受到损害之日起七个工作日内，</w:t>
      </w:r>
      <w:r>
        <w:rPr>
          <w:rFonts w:hint="eastAsia" w:ascii="Times New Roman" w:hAnsi="Times New Roman" w:cs="仿宋"/>
          <w:b/>
          <w:bCs/>
          <w:color w:val="auto"/>
          <w:sz w:val="24"/>
          <w:highlight w:val="none"/>
        </w:rPr>
        <w:t>通过 CA 数字证书登录“苏采云”系统，从“项目质疑申请”模块向采购人提出质疑。</w:t>
      </w:r>
      <w:r>
        <w:rPr>
          <w:rFonts w:hint="eastAsia" w:ascii="Times New Roman" w:hAnsi="Times New Roman" w:cs="仿宋"/>
          <w:color w:val="auto"/>
          <w:sz w:val="24"/>
          <w:highlight w:val="none"/>
        </w:rPr>
        <w:t>质疑联系部门、联系电话、通讯地址详见采购公告。</w:t>
      </w:r>
    </w:p>
    <w:p w14:paraId="271E2CCA">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28.2供应商应知其权益受到损害之日，是指：</w:t>
      </w:r>
    </w:p>
    <w:p w14:paraId="4BA8FC6D">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（1）对本项目采购文件提出质疑的，为获取采购文件之日或者采购文件公告期限届满之日；</w:t>
      </w:r>
    </w:p>
    <w:p w14:paraId="2CE8C08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（2）对本项目采购过程提出质疑的，为各采购程序环节结束之日；</w:t>
      </w:r>
    </w:p>
    <w:p w14:paraId="782F009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（3）对本项目中标或者成交结果提出质疑的，为中标或者成交结果公告期限届满之日。</w:t>
      </w:r>
    </w:p>
    <w:p w14:paraId="3E358860">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28.3 质疑供应商应当是参与所质疑项目采购活动的供应商。潜在供应商已依法获取其可质疑的采购文件的，方可对该文件提出质疑。供应商在法定质疑期内应一次性提出针对同一采购程序环节的质疑。</w:t>
      </w:r>
    </w:p>
    <w:p w14:paraId="26BDB2A7">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28.4供应商提出质疑应当提交质疑函和必要的证明材料。质疑函的必备内容：</w:t>
      </w:r>
    </w:p>
    <w:p w14:paraId="567B7A1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（1）供应商的姓名或者名称、地址、邮编、联系人及联系电话；</w:t>
      </w:r>
    </w:p>
    <w:p w14:paraId="5A07EB3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（2）质疑项目的名称、编号；</w:t>
      </w:r>
    </w:p>
    <w:p w14:paraId="7CD7B0E3">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（3）获取采购文件的时间；</w:t>
      </w:r>
    </w:p>
    <w:p w14:paraId="79A9E3B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（4）具体、明确的质疑事项和质疑事项相关的请求；</w:t>
      </w:r>
    </w:p>
    <w:p w14:paraId="0592731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（5）事实依据；</w:t>
      </w:r>
    </w:p>
    <w:p w14:paraId="5E564ACA">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（6）必要的法律依据；</w:t>
      </w:r>
    </w:p>
    <w:p w14:paraId="2F8016E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（7）提出质疑的日期；</w:t>
      </w:r>
    </w:p>
    <w:p w14:paraId="5FFA740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（8）供应商为自然人的，由本人签字；供应商为法人或者其他组织的，应当由法定代表人、主要负责人，或者其授权代表签字或者盖章，并盖公章。</w:t>
      </w:r>
    </w:p>
    <w:p w14:paraId="2641220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9）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盖单位公章。</w:t>
      </w:r>
    </w:p>
    <w:p w14:paraId="2BC35451">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28.5采购人、采购代理机构在收到质疑函后7个工作日内作出答复，并以书面形式通知质疑供应商和其他有关供应商，但质疑答复的内容不涉及商业秘密。</w:t>
      </w:r>
    </w:p>
    <w:p w14:paraId="7F865EDF">
      <w:pPr>
        <w:spacing w:line="480" w:lineRule="exact"/>
        <w:ind w:firstLine="482"/>
        <w:rPr>
          <w:rFonts w:ascii="Times New Roman" w:hAnsi="Times New Roman" w:cs="仿宋"/>
          <w:b/>
          <w:color w:val="auto"/>
          <w:sz w:val="24"/>
          <w:highlight w:val="none"/>
        </w:rPr>
      </w:pPr>
      <w:r>
        <w:rPr>
          <w:rFonts w:hint="eastAsia" w:ascii="Times New Roman" w:hAnsi="Times New Roman" w:cs="仿宋"/>
          <w:b/>
          <w:color w:val="auto"/>
          <w:sz w:val="24"/>
          <w:highlight w:val="none"/>
        </w:rPr>
        <w:t>29、投诉</w:t>
      </w:r>
    </w:p>
    <w:p w14:paraId="60F27ABC">
      <w:pPr>
        <w:spacing w:line="480" w:lineRule="exact"/>
        <w:ind w:firstLine="482"/>
        <w:rPr>
          <w:rFonts w:ascii="Times New Roman" w:hAnsi="Times New Roman" w:cs="仿宋"/>
          <w:color w:val="auto"/>
          <w:sz w:val="24"/>
          <w:highlight w:val="none"/>
        </w:rPr>
      </w:pPr>
      <w:r>
        <w:rPr>
          <w:rFonts w:hint="eastAsia" w:ascii="Times New Roman" w:hAnsi="Times New Roman" w:cs="仿宋"/>
          <w:color w:val="auto"/>
          <w:sz w:val="24"/>
          <w:highlight w:val="none"/>
        </w:rPr>
        <w:t>质疑供应商对采购人、采购代理机构的答复不满意，或者采购人、采购代理机构未在规定时间内作出答复的，可以在答复期满后15个工作日内向同级财政部门提起投诉。</w:t>
      </w:r>
    </w:p>
    <w:p w14:paraId="515B6386">
      <w:pPr>
        <w:rPr>
          <w:rFonts w:hint="eastAsia" w:ascii="仿宋" w:hAnsi="仿宋" w:eastAsia="仿宋" w:cs="仿宋"/>
          <w:color w:val="auto"/>
          <w:highlight w:val="none"/>
        </w:rPr>
      </w:pPr>
      <w:r>
        <w:rPr>
          <w:rFonts w:hint="eastAsia" w:ascii="仿宋" w:hAnsi="仿宋" w:eastAsia="仿宋" w:cs="仿宋"/>
          <w:color w:val="auto"/>
          <w:highlight w:val="none"/>
        </w:rPr>
        <w:br w:type="page" w:clear="all"/>
      </w:r>
    </w:p>
    <w:p w14:paraId="3A05F4BB">
      <w:pPr>
        <w:pStyle w:val="2"/>
        <w:spacing w:before="200"/>
        <w:jc w:val="center"/>
        <w:rPr>
          <w:rFonts w:ascii="Times New Roman" w:hAnsi="Times New Roman" w:eastAsia="黑体"/>
          <w:color w:val="auto"/>
          <w:sz w:val="44"/>
          <w:highlight w:val="none"/>
        </w:rPr>
      </w:pPr>
      <w:bookmarkStart w:id="71" w:name="_Toc3418"/>
      <w:bookmarkStart w:id="72" w:name="_Toc14692"/>
      <w:bookmarkStart w:id="73" w:name="_Toc141869971"/>
      <w:bookmarkStart w:id="74" w:name="_Toc21941"/>
      <w:r>
        <w:rPr>
          <w:rFonts w:hint="eastAsia" w:ascii="Times New Roman" w:hAnsi="Times New Roman" w:eastAsia="黑体"/>
          <w:color w:val="auto"/>
          <w:sz w:val="44"/>
          <w:highlight w:val="none"/>
        </w:rPr>
        <w:t xml:space="preserve">第三章  </w:t>
      </w:r>
      <w:bookmarkEnd w:id="71"/>
      <w:bookmarkEnd w:id="72"/>
      <w:bookmarkEnd w:id="73"/>
      <w:r>
        <w:rPr>
          <w:rFonts w:hint="eastAsia" w:ascii="Times New Roman" w:hAnsi="Times New Roman" w:eastAsia="黑体"/>
          <w:color w:val="auto"/>
          <w:sz w:val="44"/>
          <w:highlight w:val="none"/>
        </w:rPr>
        <w:t>评审方法与评审标准</w:t>
      </w:r>
      <w:bookmarkEnd w:id="74"/>
    </w:p>
    <w:p w14:paraId="118A76BD">
      <w:pPr>
        <w:spacing w:line="480" w:lineRule="exact"/>
        <w:ind w:firstLine="482" w:firstLineChars="200"/>
        <w:jc w:val="left"/>
        <w:rPr>
          <w:rFonts w:ascii="Times New Roman" w:hAnsi="Times New Roman" w:cs="仿宋"/>
          <w:b/>
          <w:bCs/>
          <w:color w:val="auto"/>
          <w:sz w:val="24"/>
          <w:highlight w:val="none"/>
        </w:rPr>
      </w:pPr>
      <w:r>
        <w:rPr>
          <w:rFonts w:hint="eastAsia" w:ascii="Times New Roman" w:hAnsi="Times New Roman" w:cs="仿宋"/>
          <w:b/>
          <w:bCs/>
          <w:color w:val="auto"/>
          <w:sz w:val="24"/>
          <w:highlight w:val="none"/>
        </w:rPr>
        <w:t>一、资格审查</w:t>
      </w:r>
    </w:p>
    <w:p w14:paraId="07F9EB1C">
      <w:pPr>
        <w:spacing w:line="480" w:lineRule="exact"/>
        <w:ind w:firstLine="480" w:firstLineChars="200"/>
        <w:jc w:val="left"/>
        <w:rPr>
          <w:rFonts w:ascii="Times New Roman" w:hAnsi="Times New Roman" w:cs="仿宋"/>
          <w:color w:val="auto"/>
          <w:sz w:val="24"/>
          <w:highlight w:val="none"/>
        </w:rPr>
      </w:pPr>
      <w:r>
        <w:rPr>
          <w:rFonts w:hint="eastAsia"/>
          <w:color w:val="auto"/>
          <w:sz w:val="24"/>
          <w:szCs w:val="28"/>
          <w:highlight w:val="none"/>
        </w:rPr>
        <w:t>资格审查人员按照下列指标对各供应商的资格进行审查，未通过审查的为无效标，不参与评审。</w:t>
      </w:r>
    </w:p>
    <w:tbl>
      <w:tblPr>
        <w:tblStyle w:val="41"/>
        <w:tblW w:w="8668" w:type="dxa"/>
        <w:tblInd w:w="-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4422"/>
        <w:gridCol w:w="4246"/>
      </w:tblGrid>
      <w:tr w14:paraId="17DC2B2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vAlign w:val="center"/>
          </w:tcPr>
          <w:p w14:paraId="19BD385D">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资格审查因素</w:t>
            </w:r>
          </w:p>
        </w:tc>
        <w:tc>
          <w:tcPr>
            <w:tcW w:w="4246" w:type="dxa"/>
            <w:tcBorders>
              <w:top w:val="single" w:color="auto" w:sz="6" w:space="0"/>
              <w:left w:val="single" w:color="auto" w:sz="6" w:space="0"/>
              <w:bottom w:val="single" w:color="auto" w:sz="6" w:space="0"/>
              <w:right w:val="single" w:color="auto" w:sz="6" w:space="0"/>
            </w:tcBorders>
            <w:vAlign w:val="center"/>
          </w:tcPr>
          <w:p w14:paraId="0B27FB31">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审查标准</w:t>
            </w:r>
          </w:p>
        </w:tc>
      </w:tr>
      <w:tr w14:paraId="1D4F8E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vAlign w:val="center"/>
          </w:tcPr>
          <w:p w14:paraId="746FE196">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响应声明及承诺函</w:t>
            </w:r>
          </w:p>
        </w:tc>
        <w:tc>
          <w:tcPr>
            <w:tcW w:w="4246" w:type="dxa"/>
            <w:tcBorders>
              <w:top w:val="single" w:color="auto" w:sz="6" w:space="0"/>
              <w:left w:val="single" w:color="auto" w:sz="6" w:space="0"/>
              <w:bottom w:val="single" w:color="auto" w:sz="6" w:space="0"/>
              <w:right w:val="single" w:color="auto" w:sz="6" w:space="0"/>
            </w:tcBorders>
            <w:vAlign w:val="center"/>
          </w:tcPr>
          <w:p w14:paraId="032E2BB6">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14:paraId="32F0927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vAlign w:val="center"/>
          </w:tcPr>
          <w:p w14:paraId="100B6300">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信用信息</w:t>
            </w:r>
          </w:p>
        </w:tc>
        <w:tc>
          <w:tcPr>
            <w:tcW w:w="4246" w:type="dxa"/>
            <w:tcBorders>
              <w:top w:val="single" w:color="auto" w:sz="6" w:space="0"/>
              <w:left w:val="single" w:color="auto" w:sz="6" w:space="0"/>
              <w:bottom w:val="single" w:color="auto" w:sz="6" w:space="0"/>
              <w:right w:val="single" w:color="auto" w:sz="6" w:space="0"/>
            </w:tcBorders>
            <w:vAlign w:val="center"/>
          </w:tcPr>
          <w:p w14:paraId="1FE1C288">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14:paraId="3F159FB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shd w:val="clear" w:color="auto" w:fill="auto"/>
            <w:vAlign w:val="center"/>
          </w:tcPr>
          <w:p w14:paraId="52303F91">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中小企业或残疾人福利性单位声明函，或监狱企业证明文件</w:t>
            </w:r>
          </w:p>
        </w:tc>
        <w:tc>
          <w:tcPr>
            <w:tcW w:w="4246" w:type="dxa"/>
            <w:tcBorders>
              <w:top w:val="single" w:color="auto" w:sz="6" w:space="0"/>
              <w:left w:val="single" w:color="auto" w:sz="6" w:space="0"/>
              <w:bottom w:val="single" w:color="auto" w:sz="6" w:space="0"/>
              <w:right w:val="single" w:color="auto" w:sz="6" w:space="0"/>
            </w:tcBorders>
            <w:shd w:val="clear" w:color="auto" w:fill="auto"/>
            <w:vAlign w:val="center"/>
          </w:tcPr>
          <w:p w14:paraId="20037113">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bl>
    <w:p w14:paraId="3B9E44EB">
      <w:pPr>
        <w:spacing w:line="480" w:lineRule="exact"/>
        <w:ind w:firstLine="482" w:firstLineChars="200"/>
        <w:jc w:val="left"/>
        <w:rPr>
          <w:rFonts w:ascii="Times New Roman" w:hAnsi="Times New Roman" w:cs="仿宋"/>
          <w:b/>
          <w:bCs/>
          <w:color w:val="auto"/>
          <w:sz w:val="24"/>
          <w:highlight w:val="none"/>
        </w:rPr>
      </w:pPr>
      <w:r>
        <w:rPr>
          <w:rFonts w:hint="eastAsia" w:ascii="Times New Roman" w:hAnsi="Times New Roman" w:cs="仿宋"/>
          <w:b/>
          <w:bCs/>
          <w:color w:val="auto"/>
          <w:sz w:val="24"/>
          <w:highlight w:val="none"/>
        </w:rPr>
        <w:t>二、符合性审查</w:t>
      </w:r>
    </w:p>
    <w:p w14:paraId="41C6BFBE">
      <w:pPr>
        <w:spacing w:line="480" w:lineRule="exact"/>
        <w:ind w:firstLine="480" w:firstLineChars="200"/>
        <w:jc w:val="left"/>
        <w:rPr>
          <w:rFonts w:ascii="方正仿宋_GBK" w:eastAsia="方正仿宋_GBK"/>
          <w:color w:val="auto"/>
          <w:sz w:val="24"/>
          <w:highlight w:val="none"/>
        </w:rPr>
      </w:pPr>
      <w:r>
        <w:rPr>
          <w:rFonts w:hint="eastAsia"/>
          <w:color w:val="auto"/>
          <w:sz w:val="24"/>
          <w:szCs w:val="28"/>
          <w:highlight w:val="none"/>
        </w:rPr>
        <w:t>磋商小组对符合资格的供应商的响应文件进行符合性审查，未通过审查的为无效标，不再参与评审。</w:t>
      </w:r>
    </w:p>
    <w:tbl>
      <w:tblPr>
        <w:tblStyle w:val="41"/>
        <w:tblW w:w="8668" w:type="dxa"/>
        <w:tblInd w:w="-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4364"/>
        <w:gridCol w:w="4304"/>
      </w:tblGrid>
      <w:tr w14:paraId="0BE066D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14:paraId="00B6A3BC">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符合性审查因素</w:t>
            </w:r>
          </w:p>
        </w:tc>
        <w:tc>
          <w:tcPr>
            <w:tcW w:w="4304" w:type="dxa"/>
            <w:tcBorders>
              <w:top w:val="single" w:color="auto" w:sz="6" w:space="0"/>
              <w:left w:val="single" w:color="auto" w:sz="6" w:space="0"/>
              <w:bottom w:val="single" w:color="auto" w:sz="6" w:space="0"/>
              <w:right w:val="single" w:color="auto" w:sz="6" w:space="0"/>
            </w:tcBorders>
            <w:vAlign w:val="center"/>
          </w:tcPr>
          <w:p w14:paraId="79B41040">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审查标准</w:t>
            </w:r>
          </w:p>
        </w:tc>
      </w:tr>
      <w:tr w14:paraId="413D7C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14:paraId="3AD6AB76">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法人授权书</w:t>
            </w:r>
          </w:p>
        </w:tc>
        <w:tc>
          <w:tcPr>
            <w:tcW w:w="4304" w:type="dxa"/>
            <w:tcBorders>
              <w:top w:val="single" w:color="auto" w:sz="6" w:space="0"/>
              <w:left w:val="single" w:color="auto" w:sz="6" w:space="0"/>
              <w:bottom w:val="single" w:color="auto" w:sz="6" w:space="0"/>
              <w:right w:val="single" w:color="auto" w:sz="6" w:space="0"/>
            </w:tcBorders>
            <w:vAlign w:val="center"/>
          </w:tcPr>
          <w:p w14:paraId="587CA7C8">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r w14:paraId="5553E3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14:paraId="6ED644E0">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其他</w:t>
            </w:r>
          </w:p>
        </w:tc>
        <w:tc>
          <w:tcPr>
            <w:tcW w:w="4304" w:type="dxa"/>
            <w:tcBorders>
              <w:top w:val="single" w:color="auto" w:sz="6" w:space="0"/>
              <w:left w:val="single" w:color="auto" w:sz="6" w:space="0"/>
              <w:bottom w:val="single" w:color="auto" w:sz="6" w:space="0"/>
              <w:right w:val="single" w:color="auto" w:sz="6" w:space="0"/>
            </w:tcBorders>
            <w:vAlign w:val="center"/>
          </w:tcPr>
          <w:p w14:paraId="2D1D3A57">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符合磋商文件要求</w:t>
            </w:r>
          </w:p>
        </w:tc>
      </w:tr>
    </w:tbl>
    <w:p w14:paraId="0E5B465A">
      <w:pPr>
        <w:spacing w:line="480" w:lineRule="exact"/>
        <w:ind w:firstLine="482"/>
        <w:jc w:val="left"/>
        <w:rPr>
          <w:rFonts w:ascii="Times New Roman" w:hAnsi="Times New Roman" w:cs="仿宋"/>
          <w:b/>
          <w:color w:val="auto"/>
          <w:sz w:val="24"/>
          <w:highlight w:val="none"/>
        </w:rPr>
      </w:pPr>
      <w:r>
        <w:rPr>
          <w:rFonts w:hint="eastAsia" w:ascii="Times New Roman" w:hAnsi="Times New Roman" w:cs="仿宋"/>
          <w:color w:val="auto"/>
          <w:sz w:val="24"/>
          <w:highlight w:val="none"/>
        </w:rPr>
        <w:t>三</w:t>
      </w:r>
      <w:r>
        <w:rPr>
          <w:rFonts w:ascii="Times New Roman" w:hAnsi="Times New Roman" w:cs="仿宋"/>
          <w:color w:val="auto"/>
          <w:sz w:val="24"/>
          <w:highlight w:val="none"/>
        </w:rPr>
        <w:t>、</w:t>
      </w:r>
      <w:r>
        <w:rPr>
          <w:rFonts w:hint="eastAsia" w:ascii="Times New Roman" w:hAnsi="Times New Roman" w:cs="仿宋"/>
          <w:b/>
          <w:color w:val="auto"/>
          <w:sz w:val="24"/>
          <w:highlight w:val="none"/>
        </w:rPr>
        <w:t>评审方法</w:t>
      </w:r>
    </w:p>
    <w:p w14:paraId="5EA6A2F7">
      <w:pPr>
        <w:spacing w:line="480" w:lineRule="exact"/>
        <w:ind w:firstLine="482"/>
        <w:jc w:val="left"/>
        <w:rPr>
          <w:rFonts w:ascii="Times New Roman" w:hAnsi="Times New Roman" w:cs="仿宋"/>
          <w:color w:val="auto"/>
          <w:sz w:val="24"/>
          <w:highlight w:val="none"/>
        </w:rPr>
      </w:pPr>
      <w:r>
        <w:rPr>
          <w:rFonts w:hint="eastAsia" w:ascii="Times New Roman" w:hAnsi="Times New Roman" w:cs="仿宋"/>
          <w:color w:val="auto"/>
          <w:sz w:val="24"/>
          <w:highlight w:val="none"/>
        </w:rPr>
        <w:t>采用综合评分法，按响应文件满足磋商文件全部实质性要求且按评审因素的量化指标评审得分最高的供应商为成交候选供应商的评审方法。</w:t>
      </w:r>
    </w:p>
    <w:p w14:paraId="39C6C761">
      <w:pPr>
        <w:spacing w:line="480" w:lineRule="exact"/>
        <w:ind w:firstLine="482"/>
        <w:jc w:val="left"/>
        <w:rPr>
          <w:rFonts w:ascii="Times New Roman" w:hAnsi="Times New Roman" w:cs="仿宋"/>
          <w:color w:val="auto"/>
          <w:sz w:val="24"/>
          <w:highlight w:val="none"/>
        </w:rPr>
      </w:pPr>
      <w:r>
        <w:rPr>
          <w:rFonts w:hint="eastAsia" w:ascii="Times New Roman" w:hAnsi="Times New Roman" w:cs="仿宋"/>
          <w:color w:val="auto"/>
          <w:sz w:val="24"/>
          <w:highlight w:val="none"/>
        </w:rPr>
        <w:t>综合评分保留至小数点后两位。</w:t>
      </w:r>
    </w:p>
    <w:p w14:paraId="19DBB26D">
      <w:pPr>
        <w:spacing w:line="480" w:lineRule="exact"/>
        <w:ind w:firstLine="482"/>
        <w:jc w:val="left"/>
        <w:rPr>
          <w:rFonts w:ascii="Times New Roman" w:hAnsi="Times New Roman" w:cs="仿宋"/>
          <w:color w:val="auto"/>
          <w:sz w:val="24"/>
          <w:highlight w:val="none"/>
        </w:rPr>
      </w:pPr>
      <w:r>
        <w:rPr>
          <w:rFonts w:hint="eastAsia" w:ascii="Times New Roman" w:hAnsi="Times New Roman" w:cs="仿宋"/>
          <w:color w:val="auto"/>
          <w:sz w:val="24"/>
          <w:highlight w:val="none"/>
        </w:rPr>
        <w:t>磋商小组根据综合评分情况，按照评审得分由高到低顺序推荐成交候选供应商，并编写评审报告。</w:t>
      </w:r>
    </w:p>
    <w:p w14:paraId="1C58BF70">
      <w:pPr>
        <w:spacing w:line="480" w:lineRule="exact"/>
        <w:ind w:firstLine="482"/>
        <w:jc w:val="left"/>
        <w:rPr>
          <w:rFonts w:ascii="Times New Roman" w:hAnsi="Times New Roman" w:cs="仿宋"/>
          <w:color w:val="auto"/>
          <w:sz w:val="24"/>
          <w:highlight w:val="none"/>
        </w:rPr>
      </w:pPr>
      <w:bookmarkStart w:id="75" w:name="EB1a5d8b2c3833482f95a1f101c76adb9d"/>
      <w:r>
        <w:rPr>
          <w:rFonts w:hint="eastAsia" w:ascii="Times New Roman" w:hAnsi="Times New Roman" w:cs="仿宋"/>
          <w:b/>
          <w:color w:val="auto"/>
          <w:sz w:val="24"/>
          <w:highlight w:val="none"/>
        </w:rPr>
        <w:t>四</w:t>
      </w:r>
      <w:r>
        <w:rPr>
          <w:rFonts w:ascii="Times New Roman" w:hAnsi="Times New Roman" w:cs="仿宋"/>
          <w:b/>
          <w:color w:val="auto"/>
          <w:sz w:val="24"/>
          <w:highlight w:val="none"/>
        </w:rPr>
        <w:t>、</w:t>
      </w:r>
      <w:bookmarkEnd w:id="75"/>
      <w:r>
        <w:rPr>
          <w:rFonts w:hint="eastAsia" w:ascii="Times New Roman" w:hAnsi="Times New Roman" w:cs="仿宋"/>
          <w:b/>
          <w:bCs/>
          <w:color w:val="auto"/>
          <w:sz w:val="24"/>
          <w:highlight w:val="none"/>
        </w:rPr>
        <w:t>评审标准</w:t>
      </w:r>
    </w:p>
    <w:tbl>
      <w:tblPr>
        <w:tblStyle w:val="41"/>
        <w:tblW w:w="5032" w:type="pct"/>
        <w:tblInd w:w="-7"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0" w:type="dxa"/>
          <w:bottom w:w="0" w:type="dxa"/>
          <w:right w:w="0" w:type="dxa"/>
        </w:tblCellMar>
      </w:tblPr>
      <w:tblGrid>
        <w:gridCol w:w="957"/>
        <w:gridCol w:w="2857"/>
        <w:gridCol w:w="1065"/>
        <w:gridCol w:w="4267"/>
      </w:tblGrid>
      <w:tr w14:paraId="0DF89A8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c>
          <w:tcPr>
            <w:tcW w:w="3759" w:type="dxa"/>
            <w:gridSpan w:val="2"/>
            <w:noWrap w:val="0"/>
            <w:vAlign w:val="center"/>
          </w:tcPr>
          <w:p w14:paraId="09CDB6F5">
            <w:pPr>
              <w:widowControl w:val="0"/>
              <w:spacing w:after="0" w:afterAutospacing="0"/>
              <w:jc w:val="center"/>
              <w:rPr>
                <w:rFonts w:hint="eastAsia" w:ascii="宋体" w:hAnsi="宋体" w:eastAsia="宋体" w:cs="宋体"/>
                <w:sz w:val="21"/>
                <w:szCs w:val="22"/>
                <w:lang w:val="en-US" w:eastAsia="zh-CN" w:bidi="ar-SA"/>
              </w:rPr>
            </w:pPr>
            <w:bookmarkStart w:id="76" w:name="EBd5bea3a3c3254523b93c8abaa514fb10"/>
            <w:bookmarkEnd w:id="76"/>
            <w:bookmarkStart w:id="77" w:name="_Toc10422"/>
            <w:r>
              <w:rPr>
                <w:rFonts w:hint="eastAsia" w:ascii="宋体" w:hAnsi="宋体" w:eastAsia="宋体" w:cs="宋体"/>
                <w:sz w:val="21"/>
                <w:szCs w:val="22"/>
                <w:rtl w:val="0"/>
                <w:lang w:val="en-US" w:eastAsia="zh-CN" w:bidi="ar-SA"/>
              </w:rPr>
              <w:t>评审因素</w:t>
            </w:r>
          </w:p>
        </w:tc>
        <w:tc>
          <w:tcPr>
            <w:tcW w:w="1049" w:type="dxa"/>
            <w:noWrap w:val="0"/>
            <w:vAlign w:val="center"/>
          </w:tcPr>
          <w:p w14:paraId="4D960891">
            <w:pPr>
              <w:widowControl w:val="0"/>
              <w:spacing w:after="0" w:afterAutospacing="0"/>
              <w:jc w:val="center"/>
              <w:rPr>
                <w:rFonts w:hint="eastAsia" w:ascii="宋体" w:hAnsi="宋体" w:eastAsia="宋体" w:cs="宋体"/>
                <w:sz w:val="21"/>
                <w:szCs w:val="22"/>
                <w:lang w:val="en-US" w:eastAsia="zh-CN" w:bidi="ar-SA"/>
              </w:rPr>
            </w:pPr>
            <w:r>
              <w:rPr>
                <w:rFonts w:hint="eastAsia" w:ascii="宋体" w:hAnsi="宋体" w:eastAsia="宋体" w:cs="宋体"/>
                <w:sz w:val="21"/>
                <w:szCs w:val="22"/>
                <w:rtl w:val="0"/>
                <w:lang w:val="en-US" w:eastAsia="zh-CN" w:bidi="ar-SA"/>
              </w:rPr>
              <w:t>分数</w:t>
            </w:r>
          </w:p>
        </w:tc>
        <w:tc>
          <w:tcPr>
            <w:tcW w:w="4204" w:type="dxa"/>
            <w:noWrap w:val="0"/>
            <w:vAlign w:val="center"/>
          </w:tcPr>
          <w:p w14:paraId="16284368">
            <w:pPr>
              <w:widowControl w:val="0"/>
              <w:spacing w:after="0" w:afterAutospacing="0"/>
              <w:jc w:val="center"/>
              <w:rPr>
                <w:rFonts w:hint="eastAsia" w:ascii="宋体" w:hAnsi="宋体" w:eastAsia="宋体" w:cs="宋体"/>
                <w:sz w:val="21"/>
                <w:szCs w:val="22"/>
                <w:lang w:val="en-US" w:eastAsia="zh-CN" w:bidi="ar-SA"/>
              </w:rPr>
            </w:pPr>
            <w:r>
              <w:rPr>
                <w:rFonts w:hint="eastAsia" w:ascii="宋体" w:hAnsi="宋体" w:eastAsia="宋体" w:cs="宋体"/>
                <w:sz w:val="21"/>
                <w:szCs w:val="22"/>
                <w:rtl w:val="0"/>
                <w:lang w:val="en-US" w:eastAsia="zh-CN" w:bidi="ar-SA"/>
              </w:rPr>
              <w:t>评审标准</w:t>
            </w:r>
          </w:p>
        </w:tc>
      </w:tr>
      <w:tr w14:paraId="369CB75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c>
          <w:tcPr>
            <w:tcW w:w="944" w:type="dxa"/>
            <w:noWrap w:val="0"/>
            <w:vAlign w:val="center"/>
          </w:tcPr>
          <w:p w14:paraId="250735E9">
            <w:pPr>
              <w:widowControl w:val="0"/>
              <w:spacing w:after="0" w:afterAutospacing="0"/>
              <w:jc w:val="left"/>
              <w:rPr>
                <w:rFonts w:hint="eastAsia" w:ascii="宋体" w:hAnsi="宋体" w:eastAsia="宋体" w:cs="宋体"/>
                <w:color w:val="000000"/>
                <w:sz w:val="21"/>
                <w:szCs w:val="22"/>
              </w:rPr>
            </w:pPr>
            <w:r>
              <w:rPr>
                <w:rFonts w:hint="eastAsia" w:ascii="宋体" w:hAnsi="宋体" w:eastAsia="宋体" w:cs="宋体"/>
                <w:color w:val="000000"/>
                <w:sz w:val="21"/>
                <w:szCs w:val="22"/>
                <w:rtl w:val="0"/>
                <w:lang w:val="en-US" w:eastAsia="zh-CN" w:bidi="ar-SA"/>
              </w:rPr>
              <w:t>报价分</w:t>
            </w:r>
          </w:p>
        </w:tc>
        <w:tc>
          <w:tcPr>
            <w:tcW w:w="2815" w:type="dxa"/>
            <w:noWrap w:val="0"/>
            <w:vAlign w:val="center"/>
          </w:tcPr>
          <w:p w14:paraId="1848C0E4">
            <w:pPr>
              <w:widowControl w:val="0"/>
              <w:spacing w:after="0" w:afterAutospacing="0"/>
              <w:jc w:val="center"/>
              <w:rPr>
                <w:rFonts w:hint="eastAsia" w:ascii="宋体" w:hAnsi="宋体" w:eastAsia="宋体" w:cs="宋体"/>
                <w:color w:val="000000"/>
                <w:sz w:val="21"/>
                <w:szCs w:val="22"/>
              </w:rPr>
            </w:pPr>
            <w:r>
              <w:rPr>
                <w:rFonts w:hint="eastAsia" w:ascii="宋体" w:hAnsi="宋体" w:eastAsia="宋体" w:cs="宋体"/>
                <w:color w:val="000000"/>
                <w:sz w:val="21"/>
                <w:szCs w:val="22"/>
                <w:rtl w:val="0"/>
                <w:lang w:val="en-US" w:eastAsia="zh-CN" w:bidi="ar-SA"/>
              </w:rPr>
              <w:t>投标报价</w:t>
            </w:r>
          </w:p>
        </w:tc>
        <w:tc>
          <w:tcPr>
            <w:tcW w:w="1049" w:type="dxa"/>
            <w:noWrap w:val="0"/>
            <w:vAlign w:val="center"/>
          </w:tcPr>
          <w:p w14:paraId="0A297020">
            <w:pPr>
              <w:widowControl w:val="0"/>
              <w:spacing w:after="0" w:afterAutospacing="0"/>
              <w:jc w:val="center"/>
              <w:rPr>
                <w:rFonts w:hint="eastAsia" w:ascii="宋体" w:hAnsi="宋体" w:eastAsia="宋体" w:cs="宋体"/>
                <w:color w:val="000000"/>
                <w:sz w:val="21"/>
                <w:szCs w:val="22"/>
              </w:rPr>
            </w:pPr>
            <w:r>
              <w:rPr>
                <w:rFonts w:hint="eastAsia" w:ascii="宋体" w:hAnsi="宋体" w:eastAsia="宋体" w:cs="宋体"/>
                <w:color w:val="000000"/>
                <w:sz w:val="21"/>
                <w:szCs w:val="22"/>
                <w:rtl w:val="0"/>
                <w:lang w:val="en-US" w:eastAsia="zh-CN" w:bidi="ar-SA"/>
              </w:rPr>
              <w:t>30.00</w:t>
            </w:r>
          </w:p>
        </w:tc>
        <w:tc>
          <w:tcPr>
            <w:tcW w:w="4204" w:type="dxa"/>
            <w:noWrap w:val="0"/>
            <w:vAlign w:val="center"/>
          </w:tcPr>
          <w:p w14:paraId="62995780">
            <w:pPr>
              <w:widowControl w:val="0"/>
              <w:spacing w:after="0" w:afterAutospacing="0"/>
              <w:jc w:val="left"/>
              <w:rPr>
                <w:rFonts w:hint="eastAsia" w:ascii="宋体" w:hAnsi="宋体" w:eastAsia="宋体" w:cs="宋体"/>
                <w:color w:val="000000"/>
                <w:sz w:val="21"/>
                <w:szCs w:val="22"/>
              </w:rPr>
            </w:pPr>
            <w:r>
              <w:rPr>
                <w:rFonts w:hint="eastAsia" w:ascii="宋体" w:hAnsi="宋体" w:eastAsia="宋体" w:cs="宋体"/>
                <w:color w:val="000000"/>
                <w:sz w:val="21"/>
                <w:szCs w:val="22"/>
                <w:rtl w:val="0"/>
                <w:lang w:val="en-US" w:eastAsia="zh-CN" w:bidi="ar-SA"/>
              </w:rPr>
              <w:t>所有通过评审的有效投标报价的最低报价为评标基准价。投标报价得分＝（评标基准价/投标报价）*30。</w:t>
            </w:r>
          </w:p>
        </w:tc>
      </w:tr>
      <w:tr w14:paraId="3F57BBF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734" w:hRule="atLeast"/>
        </w:trPr>
        <w:tc>
          <w:tcPr>
            <w:tcW w:w="944" w:type="dxa"/>
            <w:vMerge w:val="restart"/>
            <w:noWrap w:val="0"/>
            <w:vAlign w:val="center"/>
          </w:tcPr>
          <w:p w14:paraId="22896D4A">
            <w:pPr>
              <w:widowControl w:val="0"/>
              <w:spacing w:after="0" w:afterAutospacing="0"/>
              <w:jc w:val="left"/>
              <w:rPr>
                <w:rFonts w:hint="default" w:ascii="宋体" w:hAnsi="宋体" w:eastAsia="宋体" w:cs="宋体"/>
                <w:color w:val="000000"/>
                <w:sz w:val="21"/>
                <w:szCs w:val="22"/>
              </w:rPr>
            </w:pPr>
            <w:r>
              <w:rPr>
                <w:rFonts w:hint="eastAsia" w:ascii="宋体" w:hAnsi="宋体" w:eastAsia="宋体" w:cs="宋体"/>
                <w:color w:val="000000"/>
                <w:sz w:val="21"/>
                <w:szCs w:val="22"/>
                <w:rtl w:val="0"/>
                <w:lang w:val="en-US" w:eastAsia="zh-CN" w:bidi="ar-SA"/>
              </w:rPr>
              <w:t>企业经营业绩、荣誉</w:t>
            </w:r>
          </w:p>
        </w:tc>
        <w:tc>
          <w:tcPr>
            <w:tcW w:w="2815" w:type="dxa"/>
            <w:noWrap w:val="0"/>
            <w:vAlign w:val="center"/>
          </w:tcPr>
          <w:p w14:paraId="57DFAEB9">
            <w:pPr>
              <w:widowControl w:val="0"/>
              <w:spacing w:after="0" w:afterAutospacing="0"/>
              <w:jc w:val="center"/>
              <w:rPr>
                <w:rFonts w:hint="eastAsia" w:ascii="宋体" w:hAnsi="宋体" w:eastAsia="宋体" w:cs="宋体"/>
                <w:color w:val="000000"/>
                <w:sz w:val="21"/>
                <w:szCs w:val="22"/>
              </w:rPr>
            </w:pPr>
            <w:r>
              <w:rPr>
                <w:rFonts w:hint="eastAsia" w:ascii="宋体" w:hAnsi="宋体" w:eastAsia="宋体" w:cs="宋体"/>
                <w:color w:val="000000"/>
                <w:sz w:val="21"/>
                <w:szCs w:val="22"/>
                <w:rtl w:val="0"/>
                <w:lang w:val="en-US" w:eastAsia="zh-CN" w:bidi="ar-SA"/>
              </w:rPr>
              <w:t>企业业绩</w:t>
            </w:r>
          </w:p>
        </w:tc>
        <w:tc>
          <w:tcPr>
            <w:tcW w:w="1049" w:type="dxa"/>
            <w:noWrap w:val="0"/>
            <w:vAlign w:val="center"/>
          </w:tcPr>
          <w:p w14:paraId="5FDCEE04">
            <w:pPr>
              <w:widowControl w:val="0"/>
              <w:spacing w:after="0" w:afterAutospacing="0"/>
              <w:jc w:val="center"/>
              <w:rPr>
                <w:rFonts w:hint="eastAsia" w:ascii="宋体" w:hAnsi="宋体" w:eastAsia="宋体" w:cs="宋体"/>
                <w:color w:val="000000"/>
                <w:sz w:val="21"/>
                <w:szCs w:val="22"/>
              </w:rPr>
            </w:pPr>
            <w:r>
              <w:rPr>
                <w:rFonts w:hint="eastAsia" w:ascii="宋体" w:hAnsi="宋体" w:eastAsia="宋体" w:cs="宋体"/>
                <w:color w:val="000000"/>
                <w:sz w:val="21"/>
                <w:szCs w:val="22"/>
                <w:rtl w:val="0"/>
                <w:lang w:val="en-US" w:eastAsia="zh-CN" w:bidi="ar-SA"/>
              </w:rPr>
              <w:t>4.00</w:t>
            </w:r>
          </w:p>
        </w:tc>
        <w:tc>
          <w:tcPr>
            <w:tcW w:w="4204" w:type="dxa"/>
            <w:noWrap w:val="0"/>
            <w:vAlign w:val="center"/>
          </w:tcPr>
          <w:p w14:paraId="43A17E3A">
            <w:pPr>
              <w:widowControl w:val="0"/>
              <w:spacing w:after="0" w:afterAutospacing="0"/>
              <w:jc w:val="left"/>
              <w:rPr>
                <w:rFonts w:hint="eastAsia" w:ascii="宋体" w:hAnsi="宋体" w:eastAsia="宋体" w:cs="宋体"/>
                <w:color w:val="000000"/>
                <w:sz w:val="21"/>
                <w:szCs w:val="22"/>
                <w:rtl w:val="0"/>
              </w:rPr>
            </w:pPr>
            <w:r>
              <w:rPr>
                <w:rFonts w:hint="eastAsia" w:ascii="宋体" w:hAnsi="宋体" w:eastAsia="宋体" w:cs="宋体"/>
                <w:color w:val="000000"/>
                <w:sz w:val="21"/>
                <w:szCs w:val="22"/>
                <w:rtl w:val="0"/>
                <w:lang w:val="en-US" w:eastAsia="zh-CN" w:bidi="ar-SA"/>
              </w:rPr>
              <w:t>投标人自 2021 年1月1日以来（时间以合同签订日期为准）具有类似项目业绩的，投标人每提供一个，得4分，最多得4分。(需提供中标通知书原件的扫描件、合同原件的扫描件、</w:t>
            </w:r>
            <w:r>
              <w:rPr>
                <w:rFonts w:hint="eastAsia" w:ascii="宋体" w:hAnsi="宋体" w:eastAsia="宋体" w:cs="宋体"/>
                <w:color w:val="000000"/>
                <w:szCs w:val="21"/>
                <w:highlight w:val="none"/>
              </w:rPr>
              <w:t>验收合格证明材料（或合同甲方出具的履约评价证明材料）</w:t>
            </w:r>
            <w:r>
              <w:rPr>
                <w:rFonts w:hint="eastAsia" w:ascii="宋体" w:hAnsi="宋体" w:eastAsia="宋体" w:cs="宋体"/>
                <w:color w:val="000000"/>
                <w:szCs w:val="21"/>
                <w:highlight w:val="none"/>
                <w:lang w:val="en-US" w:eastAsia="zh-CN"/>
              </w:rPr>
              <w:t>原件扫描件</w:t>
            </w:r>
            <w:r>
              <w:rPr>
                <w:rFonts w:hint="eastAsia" w:ascii="宋体" w:hAnsi="宋体" w:eastAsia="宋体" w:cs="宋体"/>
                <w:color w:val="000000"/>
                <w:sz w:val="21"/>
                <w:szCs w:val="22"/>
                <w:rtl w:val="0"/>
                <w:lang w:val="en-US" w:eastAsia="zh-CN" w:bidi="ar-SA"/>
              </w:rPr>
              <w:t>，缺一不可。 注：如有与同一个采购人签订的合同只按一个业绩计取。合</w:t>
            </w:r>
            <w:r>
              <w:rPr>
                <w:rFonts w:hint="eastAsia" w:ascii="宋体" w:hAnsi="宋体" w:eastAsia="宋体" w:cs="宋体"/>
                <w:color w:val="000000"/>
                <w:szCs w:val="21"/>
                <w:highlight w:val="none"/>
              </w:rPr>
              <w:t>同甲方出具的履约评价中出现“不满意”或“差”或“不合格”或同等意思表达的，该业绩不得分</w:t>
            </w:r>
          </w:p>
          <w:p w14:paraId="26581F26">
            <w:pPr>
              <w:widowControl w:val="0"/>
              <w:spacing w:after="0" w:afterAutospacing="0"/>
              <w:jc w:val="left"/>
              <w:rPr>
                <w:rFonts w:hint="eastAsia" w:ascii="宋体" w:hAnsi="宋体" w:eastAsia="宋体" w:cs="宋体"/>
                <w:color w:val="000000"/>
                <w:sz w:val="21"/>
                <w:szCs w:val="22"/>
                <w:rtl w:val="0"/>
              </w:rPr>
            </w:pPr>
            <w:r>
              <w:rPr>
                <w:rFonts w:hint="default" w:ascii="Calibri" w:hAnsi="Calibri" w:eastAsia="宋体" w:cs="Times New Roman"/>
                <w:color w:val="000000"/>
                <w:szCs w:val="22"/>
              </w:rPr>
              <w:t>注：对成交供应商的</w:t>
            </w:r>
            <w:r>
              <w:rPr>
                <w:rFonts w:hint="eastAsia" w:ascii="Calibri" w:hAnsi="Calibri" w:eastAsia="宋体" w:cs="Times New Roman"/>
                <w:color w:val="000000"/>
                <w:szCs w:val="22"/>
                <w:lang w:val="en-US" w:eastAsia="zh-CN"/>
              </w:rPr>
              <w:t>业绩</w:t>
            </w:r>
            <w:r>
              <w:rPr>
                <w:rFonts w:hint="default" w:ascii="Calibri" w:hAnsi="Calibri" w:eastAsia="宋体" w:cs="Times New Roman"/>
                <w:color w:val="000000"/>
                <w:szCs w:val="22"/>
              </w:rPr>
              <w:t>随中标（成交）结果公告同步予以公示。</w:t>
            </w:r>
          </w:p>
        </w:tc>
      </w:tr>
      <w:tr w14:paraId="297ED67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944" w:type="dxa"/>
            <w:vMerge w:val="continue"/>
            <w:noWrap w:val="0"/>
            <w:vAlign w:val="center"/>
          </w:tcPr>
          <w:p w14:paraId="15562DFA">
            <w:pPr>
              <w:widowControl w:val="0"/>
              <w:spacing w:after="0" w:afterAutospacing="0"/>
              <w:jc w:val="left"/>
              <w:rPr>
                <w:rFonts w:hint="eastAsia" w:ascii="宋体" w:hAnsi="宋体" w:eastAsia="宋体" w:cs="宋体"/>
                <w:sz w:val="21"/>
                <w:szCs w:val="22"/>
                <w:rtl w:val="0"/>
                <w:lang w:val="en-US" w:eastAsia="zh-CN" w:bidi="ar-SA"/>
              </w:rPr>
            </w:pPr>
          </w:p>
        </w:tc>
        <w:tc>
          <w:tcPr>
            <w:tcW w:w="2815" w:type="dxa"/>
            <w:noWrap w:val="0"/>
            <w:vAlign w:val="center"/>
          </w:tcPr>
          <w:p w14:paraId="12155B92">
            <w:pPr>
              <w:widowControl w:val="0"/>
              <w:spacing w:after="0" w:afterAutospacing="0"/>
              <w:jc w:val="center"/>
              <w:rPr>
                <w:rFonts w:hint="eastAsia" w:ascii="宋体" w:hAnsi="宋体" w:eastAsia="宋体" w:cs="宋体"/>
                <w:color w:val="000000"/>
                <w:sz w:val="21"/>
                <w:szCs w:val="22"/>
                <w:rtl w:val="0"/>
              </w:rPr>
            </w:pPr>
            <w:r>
              <w:rPr>
                <w:rFonts w:hint="default" w:ascii="Calibri" w:hAnsi="Calibri" w:eastAsia="宋体" w:cs="Times New Roman"/>
                <w:color w:val="000000"/>
                <w:szCs w:val="22"/>
              </w:rPr>
              <w:t>企业荣誉</w:t>
            </w:r>
          </w:p>
        </w:tc>
        <w:tc>
          <w:tcPr>
            <w:tcW w:w="1049" w:type="dxa"/>
            <w:noWrap w:val="0"/>
            <w:vAlign w:val="center"/>
          </w:tcPr>
          <w:p w14:paraId="4EEA3BB3">
            <w:pPr>
              <w:widowControl w:val="0"/>
              <w:spacing w:after="0" w:afterAutospacing="0"/>
              <w:jc w:val="center"/>
              <w:rPr>
                <w:rFonts w:hint="default" w:ascii="宋体" w:hAnsi="宋体" w:eastAsia="宋体" w:cs="宋体"/>
                <w:color w:val="000000"/>
                <w:sz w:val="21"/>
                <w:szCs w:val="22"/>
                <w:rtl w:val="0"/>
              </w:rPr>
            </w:pPr>
            <w:r>
              <w:rPr>
                <w:rFonts w:hint="eastAsia" w:ascii="宋体" w:hAnsi="宋体" w:eastAsia="宋体" w:cs="宋体"/>
                <w:color w:val="000000"/>
                <w:sz w:val="21"/>
                <w:szCs w:val="22"/>
                <w:rtl w:val="0"/>
                <w:lang w:val="en-US" w:eastAsia="zh-CN" w:bidi="ar-SA"/>
              </w:rPr>
              <w:t>2.00</w:t>
            </w:r>
          </w:p>
        </w:tc>
        <w:tc>
          <w:tcPr>
            <w:tcW w:w="4204" w:type="dxa"/>
            <w:noWrap w:val="0"/>
            <w:vAlign w:val="center"/>
          </w:tcPr>
          <w:p w14:paraId="295C9D63">
            <w:pPr>
              <w:widowControl w:val="0"/>
              <w:spacing w:after="0" w:afterAutospacing="0"/>
              <w:jc w:val="left"/>
              <w:rPr>
                <w:rFonts w:hint="eastAsia" w:ascii="宋体" w:hAnsi="宋体" w:eastAsia="宋体" w:cs="宋体"/>
                <w:color w:val="000000"/>
                <w:sz w:val="21"/>
                <w:szCs w:val="22"/>
                <w:rtl w:val="0"/>
              </w:rPr>
            </w:pPr>
            <w:r>
              <w:rPr>
                <w:rFonts w:hint="eastAsia" w:ascii="Calibri" w:hAnsi="Calibri" w:eastAsia="宋体" w:cs="Times New Roman"/>
                <w:color w:val="000000"/>
                <w:szCs w:val="22"/>
              </w:rPr>
              <w:t>2</w:t>
            </w:r>
            <w:r>
              <w:rPr>
                <w:rFonts w:hint="eastAsia" w:ascii="宋体" w:hAnsi="宋体" w:eastAsia="宋体" w:cs="宋体"/>
                <w:color w:val="000000"/>
                <w:sz w:val="21"/>
                <w:szCs w:val="22"/>
                <w:rtl w:val="0"/>
                <w:lang w:val="en-US" w:eastAsia="zh-CN" w:bidi="ar-SA"/>
              </w:rPr>
              <w:t>021 年 1 月 1 日</w:t>
            </w:r>
            <w:r>
              <w:rPr>
                <w:rFonts w:hint="eastAsia" w:ascii="Calibri" w:hAnsi="Calibri" w:eastAsia="宋体" w:cs="Times New Roman"/>
                <w:color w:val="000000"/>
                <w:szCs w:val="22"/>
              </w:rPr>
              <w:t>（以荣誉文件发布日期为准）以来，投标人获得县（区）级及以上</w:t>
            </w:r>
            <w:r>
              <w:rPr>
                <w:rFonts w:hint="eastAsia" w:ascii="Calibri" w:hAnsi="Calibri" w:eastAsia="宋体" w:cs="Times New Roman"/>
                <w:color w:val="000000"/>
                <w:szCs w:val="22"/>
                <w:lang w:val="en-US" w:eastAsia="zh-CN"/>
              </w:rPr>
              <w:t>主管</w:t>
            </w:r>
            <w:r>
              <w:rPr>
                <w:rFonts w:hint="eastAsia" w:ascii="Calibri" w:hAnsi="Calibri" w:eastAsia="宋体" w:cs="Times New Roman"/>
                <w:color w:val="000000"/>
                <w:szCs w:val="22"/>
              </w:rPr>
              <w:t>行政部门颁发的荣誉有1个得</w:t>
            </w:r>
            <w:r>
              <w:rPr>
                <w:rFonts w:hint="eastAsia" w:ascii="Calibri" w:hAnsi="Calibri" w:eastAsia="宋体" w:cs="Times New Roman"/>
                <w:color w:val="000000"/>
                <w:szCs w:val="22"/>
                <w:lang w:val="en-US" w:eastAsia="zh-CN"/>
              </w:rPr>
              <w:t>2</w:t>
            </w:r>
            <w:r>
              <w:rPr>
                <w:rFonts w:hint="eastAsia" w:ascii="Calibri" w:hAnsi="Calibri" w:eastAsia="宋体" w:cs="Times New Roman"/>
                <w:color w:val="000000"/>
                <w:szCs w:val="22"/>
              </w:rPr>
              <w:t>分,最高</w:t>
            </w:r>
            <w:r>
              <w:rPr>
                <w:rFonts w:hint="eastAsia" w:ascii="Calibri" w:hAnsi="Calibri" w:eastAsia="宋体" w:cs="Times New Roman"/>
                <w:color w:val="000000"/>
                <w:szCs w:val="22"/>
                <w:lang w:val="en-US" w:eastAsia="zh-CN"/>
              </w:rPr>
              <w:t>2</w:t>
            </w:r>
            <w:r>
              <w:rPr>
                <w:rFonts w:hint="eastAsia" w:ascii="Calibri" w:hAnsi="Calibri" w:eastAsia="宋体" w:cs="Times New Roman"/>
                <w:color w:val="000000"/>
                <w:szCs w:val="22"/>
              </w:rPr>
              <w:t>分。提供证书原件扫描件。</w:t>
            </w:r>
            <w:r>
              <w:rPr>
                <w:rFonts w:hint="eastAsia" w:ascii="Calibri" w:hAnsi="Calibri" w:eastAsia="宋体" w:cs="Times New Roman"/>
                <w:color w:val="000000"/>
                <w:szCs w:val="22"/>
                <w:lang w:val="en-US" w:eastAsia="zh-CN"/>
              </w:rPr>
              <w:t>证书应与本次采购标的物的服务相关，否则不得分。</w:t>
            </w:r>
            <w:r>
              <w:rPr>
                <w:rFonts w:hint="default" w:ascii="Calibri" w:hAnsi="Calibri" w:eastAsia="宋体" w:cs="Times New Roman"/>
                <w:color w:val="000000"/>
                <w:szCs w:val="22"/>
              </w:rPr>
              <w:t>注：对成交供应商的荣誉证书随中标（成交）结果公告同步予以公示。</w:t>
            </w:r>
          </w:p>
        </w:tc>
      </w:tr>
      <w:tr w14:paraId="54B61E1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44" w:type="dxa"/>
            <w:vMerge w:val="restart"/>
            <w:noWrap w:val="0"/>
            <w:vAlign w:val="center"/>
          </w:tcPr>
          <w:p w14:paraId="5446FC00">
            <w:pPr>
              <w:widowControl w:val="0"/>
              <w:spacing w:after="0" w:afterAutospacing="0"/>
              <w:jc w:val="left"/>
              <w:rPr>
                <w:rFonts w:hint="eastAsia" w:ascii="宋体" w:hAnsi="宋体" w:eastAsia="宋体" w:cs="宋体"/>
                <w:color w:val="000000"/>
                <w:sz w:val="21"/>
                <w:szCs w:val="22"/>
              </w:rPr>
            </w:pPr>
            <w:r>
              <w:rPr>
                <w:rFonts w:hint="eastAsia" w:ascii="宋体" w:hAnsi="宋体" w:eastAsia="宋体" w:cs="宋体"/>
                <w:color w:val="000000"/>
                <w:sz w:val="21"/>
                <w:szCs w:val="22"/>
                <w:rtl w:val="0"/>
                <w:lang w:val="en-US" w:eastAsia="zh-CN" w:bidi="ar-SA"/>
              </w:rPr>
              <w:t>项目实施方案</w:t>
            </w:r>
          </w:p>
        </w:tc>
        <w:tc>
          <w:tcPr>
            <w:tcW w:w="2815" w:type="dxa"/>
            <w:noWrap w:val="0"/>
            <w:vAlign w:val="center"/>
          </w:tcPr>
          <w:p w14:paraId="521FC924">
            <w:pPr>
              <w:widowControl w:val="0"/>
              <w:spacing w:after="0" w:afterAutospacing="0"/>
              <w:jc w:val="center"/>
              <w:rPr>
                <w:rFonts w:hint="eastAsia" w:ascii="宋体" w:hAnsi="宋体" w:eastAsia="宋体" w:cs="宋体"/>
                <w:color w:val="000000"/>
                <w:sz w:val="21"/>
                <w:szCs w:val="22"/>
              </w:rPr>
            </w:pPr>
            <w:r>
              <w:rPr>
                <w:rFonts w:hint="eastAsia" w:ascii="宋体" w:hAnsi="宋体" w:eastAsia="宋体" w:cs="宋体"/>
                <w:color w:val="000000"/>
                <w:sz w:val="21"/>
                <w:szCs w:val="22"/>
                <w:rtl w:val="0"/>
                <w:lang w:val="en-US" w:eastAsia="zh-CN" w:bidi="ar-SA"/>
              </w:rPr>
              <w:t>项目现状分析</w:t>
            </w:r>
          </w:p>
        </w:tc>
        <w:tc>
          <w:tcPr>
            <w:tcW w:w="1049" w:type="dxa"/>
            <w:noWrap w:val="0"/>
            <w:vAlign w:val="center"/>
          </w:tcPr>
          <w:p w14:paraId="4521017B">
            <w:pPr>
              <w:widowControl w:val="0"/>
              <w:spacing w:after="0" w:afterAutospacing="0"/>
              <w:jc w:val="center"/>
              <w:rPr>
                <w:rFonts w:hint="eastAsia" w:ascii="Calibri" w:hAnsi="Calibri" w:eastAsia="宋体" w:cs="Times New Roman"/>
                <w:color w:val="000000"/>
                <w:szCs w:val="22"/>
              </w:rPr>
            </w:pPr>
            <w:r>
              <w:rPr>
                <w:rFonts w:hint="eastAsia" w:ascii="Calibri" w:hAnsi="Calibri" w:eastAsia="宋体" w:cs="Times New Roman"/>
                <w:color w:val="000000"/>
                <w:szCs w:val="22"/>
                <w:rtl w:val="0"/>
                <w:lang w:val="en-US" w:eastAsia="zh-CN"/>
              </w:rPr>
              <w:t>10.00</w:t>
            </w:r>
          </w:p>
        </w:tc>
        <w:tc>
          <w:tcPr>
            <w:tcW w:w="4204" w:type="dxa"/>
            <w:noWrap w:val="0"/>
            <w:vAlign w:val="center"/>
          </w:tcPr>
          <w:p w14:paraId="3F4A7BF9">
            <w:pPr>
              <w:widowControl w:val="0"/>
              <w:spacing w:after="0" w:afterAutospacing="0"/>
              <w:jc w:val="left"/>
              <w:rPr>
                <w:rFonts w:hint="eastAsia" w:ascii="Calibri" w:hAnsi="Calibri" w:eastAsia="宋体" w:cs="Times New Roman"/>
                <w:color w:val="000000"/>
                <w:szCs w:val="22"/>
              </w:rPr>
            </w:pPr>
            <w:r>
              <w:rPr>
                <w:rFonts w:hint="eastAsia" w:ascii="Calibri" w:hAnsi="Calibri" w:eastAsia="宋体" w:cs="Times New Roman"/>
                <w:color w:val="000000"/>
                <w:szCs w:val="22"/>
                <w:rtl w:val="0"/>
                <w:lang w:val="en-US" w:eastAsia="zh-CN"/>
              </w:rPr>
              <w:t>供应商根据磋商文件“第四部分、采购需求-四、服务要求（一）项目现状分析”制定项目现状分析方案，主要包括投标人对本项目区域的了解情况、服务定位、目标及作业范围、针对本项目的重点、难点分析和解决方案等。对本项目需求理解充分、把握准确，分析透彻，与实际情况贴合，</w:t>
            </w:r>
            <w:r>
              <w:rPr>
                <w:rFonts w:hint="eastAsia" w:ascii="Calibri" w:hAnsi="Calibri" w:eastAsia="宋体" w:cs="Times New Roman"/>
                <w:color w:val="000000"/>
                <w:szCs w:val="22"/>
                <w:lang w:val="en-US" w:eastAsia="zh-CN"/>
              </w:rPr>
              <w:t>内容完整详实且</w:t>
            </w:r>
            <w:r>
              <w:rPr>
                <w:rFonts w:hint="eastAsia" w:ascii="Calibri" w:hAnsi="Calibri" w:eastAsia="宋体" w:cs="Times New Roman"/>
                <w:color w:val="000000"/>
                <w:szCs w:val="22"/>
                <w:rtl w:val="0"/>
                <w:lang w:val="en-US" w:eastAsia="zh-CN"/>
              </w:rPr>
              <w:t>优于采购需求得10分；</w:t>
            </w:r>
            <w:r>
              <w:rPr>
                <w:rFonts w:hint="eastAsia" w:ascii="Calibri" w:hAnsi="Calibri" w:eastAsia="宋体" w:cs="Times New Roman"/>
                <w:color w:val="000000"/>
                <w:szCs w:val="22"/>
                <w:lang w:val="en-US" w:eastAsia="zh-CN"/>
              </w:rPr>
              <w:t>内容完整</w:t>
            </w:r>
            <w:r>
              <w:rPr>
                <w:rFonts w:hint="eastAsia" w:ascii="Calibri" w:hAnsi="Calibri" w:eastAsia="宋体" w:cs="Times New Roman"/>
                <w:color w:val="000000"/>
                <w:szCs w:val="22"/>
                <w:rtl w:val="0"/>
                <w:lang w:val="en-US" w:eastAsia="zh-CN"/>
              </w:rPr>
              <w:t>满足采购需求得5分；内容不完整，但承诺经过优化可实现采购需求</w:t>
            </w:r>
            <w:bookmarkStart w:id="111" w:name="_GoBack"/>
            <w:bookmarkEnd w:id="111"/>
            <w:r>
              <w:rPr>
                <w:rFonts w:hint="eastAsia" w:ascii="Calibri" w:hAnsi="Calibri" w:eastAsia="宋体" w:cs="Times New Roman"/>
                <w:color w:val="000000"/>
                <w:szCs w:val="22"/>
                <w:rtl w:val="0"/>
                <w:lang w:val="en-US" w:eastAsia="zh-CN"/>
              </w:rPr>
              <w:t>的得3分；没有内容不得分。</w:t>
            </w:r>
          </w:p>
        </w:tc>
      </w:tr>
      <w:tr w14:paraId="1400FFC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c>
          <w:tcPr>
            <w:tcW w:w="944" w:type="dxa"/>
            <w:vMerge w:val="continue"/>
            <w:noWrap w:val="0"/>
            <w:vAlign w:val="center"/>
          </w:tcPr>
          <w:p w14:paraId="1BCABA83">
            <w:pPr>
              <w:widowControl w:val="0"/>
              <w:spacing w:after="0" w:afterAutospacing="0"/>
              <w:jc w:val="left"/>
              <w:rPr>
                <w:rFonts w:hint="eastAsia" w:ascii="宋体" w:hAnsi="宋体" w:eastAsia="宋体" w:cs="宋体"/>
                <w:sz w:val="21"/>
                <w:szCs w:val="22"/>
                <w:lang w:val="en-US" w:eastAsia="zh-CN" w:bidi="ar-SA"/>
              </w:rPr>
            </w:pPr>
          </w:p>
        </w:tc>
        <w:tc>
          <w:tcPr>
            <w:tcW w:w="2815" w:type="dxa"/>
            <w:noWrap w:val="0"/>
            <w:vAlign w:val="center"/>
          </w:tcPr>
          <w:p w14:paraId="7FB34B53">
            <w:pPr>
              <w:widowControl w:val="0"/>
              <w:spacing w:after="0" w:afterAutospacing="0"/>
              <w:jc w:val="center"/>
              <w:rPr>
                <w:rFonts w:hint="eastAsia" w:ascii="宋体" w:hAnsi="宋体" w:eastAsia="宋体" w:cs="宋体"/>
                <w:color w:val="000000"/>
                <w:sz w:val="21"/>
                <w:szCs w:val="22"/>
                <w:rtl w:val="0"/>
              </w:rPr>
            </w:pPr>
            <w:r>
              <w:rPr>
                <w:rFonts w:hint="eastAsia" w:ascii="宋体" w:hAnsi="宋体" w:eastAsia="宋体" w:cs="宋体"/>
                <w:color w:val="000000"/>
                <w:sz w:val="21"/>
                <w:szCs w:val="22"/>
                <w:rtl w:val="0"/>
                <w:lang w:val="en-US" w:eastAsia="zh-CN" w:bidi="ar-SA"/>
              </w:rPr>
              <w:t>人员、管理规章制度</w:t>
            </w:r>
          </w:p>
        </w:tc>
        <w:tc>
          <w:tcPr>
            <w:tcW w:w="1049" w:type="dxa"/>
            <w:noWrap w:val="0"/>
            <w:vAlign w:val="center"/>
          </w:tcPr>
          <w:p w14:paraId="5B44FED1">
            <w:pPr>
              <w:widowControl w:val="0"/>
              <w:spacing w:after="0" w:afterAutospacing="0"/>
              <w:jc w:val="center"/>
              <w:rPr>
                <w:rFonts w:hint="eastAsia" w:ascii="宋体" w:hAnsi="宋体" w:eastAsia="宋体" w:cs="宋体"/>
                <w:color w:val="000000"/>
                <w:sz w:val="21"/>
                <w:szCs w:val="22"/>
                <w:rtl w:val="0"/>
              </w:rPr>
            </w:pPr>
            <w:r>
              <w:rPr>
                <w:rFonts w:hint="eastAsia" w:ascii="宋体" w:hAnsi="宋体" w:eastAsia="宋体" w:cs="宋体"/>
                <w:color w:val="000000"/>
                <w:sz w:val="21"/>
                <w:szCs w:val="22"/>
                <w:rtl w:val="0"/>
                <w:lang w:val="en-US" w:eastAsia="zh-CN" w:bidi="ar-SA"/>
              </w:rPr>
              <w:t>10.00</w:t>
            </w:r>
          </w:p>
        </w:tc>
        <w:tc>
          <w:tcPr>
            <w:tcW w:w="4204" w:type="dxa"/>
            <w:noWrap w:val="0"/>
            <w:vAlign w:val="center"/>
          </w:tcPr>
          <w:p w14:paraId="368A14F5">
            <w:pPr>
              <w:widowControl w:val="0"/>
              <w:spacing w:after="0" w:afterAutospacing="0"/>
              <w:jc w:val="left"/>
              <w:rPr>
                <w:rFonts w:hint="eastAsia" w:ascii="宋体" w:hAnsi="宋体" w:eastAsia="宋体" w:cs="宋体"/>
                <w:color w:val="000000"/>
                <w:sz w:val="21"/>
                <w:szCs w:val="22"/>
                <w:rtl w:val="0"/>
              </w:rPr>
            </w:pPr>
            <w:r>
              <w:rPr>
                <w:rFonts w:hint="eastAsia" w:ascii="宋体" w:hAnsi="宋体" w:eastAsia="宋体" w:cs="宋体"/>
                <w:color w:val="000000"/>
                <w:sz w:val="21"/>
                <w:szCs w:val="22"/>
                <w:rtl w:val="0"/>
                <w:lang w:val="en-US" w:eastAsia="zh-CN" w:bidi="ar-SA"/>
              </w:rPr>
              <w:t>供应商根据磋商文件“第四部分、采购需求-四、服务要求（二）人员、管理规章制度要求”制定人员、管理规章制度，磋商小组依据供应商内部考核管理制度、员工培训计划等内容进行打分。</w:t>
            </w:r>
            <w:r>
              <w:rPr>
                <w:rFonts w:hint="eastAsia" w:ascii="宋体" w:hAnsi="宋体" w:eastAsia="宋体" w:cs="宋体"/>
                <w:color w:val="000000"/>
                <w:szCs w:val="21"/>
                <w:highlight w:val="none"/>
                <w:lang w:val="en-US" w:eastAsia="zh-CN"/>
              </w:rPr>
              <w:t>内容完整详实</w:t>
            </w:r>
            <w:r>
              <w:rPr>
                <w:rFonts w:hint="eastAsia" w:ascii="宋体" w:hAnsi="宋体" w:eastAsia="宋体" w:cs="宋体"/>
                <w:color w:val="000000"/>
                <w:sz w:val="21"/>
                <w:szCs w:val="22"/>
                <w:rtl w:val="0"/>
                <w:lang w:val="en-US" w:eastAsia="zh-CN" w:bidi="ar-SA"/>
              </w:rPr>
              <w:t>优于采购需求得10分；内容完整满足采购需求得5分；内容不完整，但承诺经过优化可实现采购需求的，得3分；没有内容不得分。</w:t>
            </w:r>
          </w:p>
        </w:tc>
      </w:tr>
      <w:tr w14:paraId="1F7087A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c>
          <w:tcPr>
            <w:tcW w:w="944" w:type="dxa"/>
            <w:vMerge w:val="continue"/>
            <w:noWrap w:val="0"/>
            <w:vAlign w:val="center"/>
          </w:tcPr>
          <w:p w14:paraId="78D09758">
            <w:pPr>
              <w:widowControl w:val="0"/>
              <w:spacing w:after="0" w:afterAutospacing="0"/>
              <w:jc w:val="left"/>
              <w:rPr>
                <w:rFonts w:hint="eastAsia" w:ascii="宋体" w:hAnsi="宋体" w:eastAsia="宋体" w:cs="宋体"/>
                <w:sz w:val="21"/>
                <w:szCs w:val="22"/>
                <w:lang w:val="en-US" w:eastAsia="zh-CN" w:bidi="ar-SA"/>
              </w:rPr>
            </w:pPr>
          </w:p>
        </w:tc>
        <w:tc>
          <w:tcPr>
            <w:tcW w:w="2815" w:type="dxa"/>
            <w:noWrap w:val="0"/>
            <w:vAlign w:val="center"/>
          </w:tcPr>
          <w:p w14:paraId="11BD356A">
            <w:pPr>
              <w:widowControl w:val="0"/>
              <w:spacing w:after="0" w:afterAutospacing="0"/>
              <w:jc w:val="center"/>
              <w:rPr>
                <w:rFonts w:hint="eastAsia" w:ascii="宋体" w:hAnsi="宋体" w:eastAsia="宋体" w:cs="宋体"/>
                <w:color w:val="000000"/>
                <w:sz w:val="21"/>
                <w:szCs w:val="22"/>
                <w:rtl w:val="0"/>
              </w:rPr>
            </w:pPr>
            <w:r>
              <w:rPr>
                <w:rFonts w:hint="eastAsia" w:ascii="宋体" w:hAnsi="宋体" w:eastAsia="宋体" w:cs="宋体"/>
                <w:color w:val="000000"/>
                <w:sz w:val="21"/>
                <w:szCs w:val="22"/>
                <w:rtl w:val="0"/>
                <w:lang w:val="en-US" w:eastAsia="zh-CN" w:bidi="ar-SA"/>
              </w:rPr>
              <w:t>公共卫生服务实施方案</w:t>
            </w:r>
          </w:p>
        </w:tc>
        <w:tc>
          <w:tcPr>
            <w:tcW w:w="1049" w:type="dxa"/>
            <w:noWrap w:val="0"/>
            <w:vAlign w:val="center"/>
          </w:tcPr>
          <w:p w14:paraId="59C8CD10">
            <w:pPr>
              <w:widowControl w:val="0"/>
              <w:spacing w:after="0" w:afterAutospacing="0"/>
              <w:jc w:val="center"/>
              <w:rPr>
                <w:rFonts w:hint="default" w:ascii="宋体" w:hAnsi="宋体" w:eastAsia="宋体" w:cs="宋体"/>
                <w:color w:val="000000"/>
                <w:sz w:val="21"/>
                <w:szCs w:val="22"/>
                <w:rtl w:val="0"/>
              </w:rPr>
            </w:pPr>
            <w:r>
              <w:rPr>
                <w:rFonts w:hint="eastAsia" w:ascii="宋体" w:hAnsi="宋体" w:eastAsia="宋体" w:cs="宋体"/>
                <w:color w:val="000000"/>
                <w:sz w:val="21"/>
                <w:szCs w:val="22"/>
                <w:rtl w:val="0"/>
                <w:lang w:val="en-US" w:eastAsia="zh-CN" w:bidi="ar-SA"/>
              </w:rPr>
              <w:t>10.00</w:t>
            </w:r>
          </w:p>
        </w:tc>
        <w:tc>
          <w:tcPr>
            <w:tcW w:w="4204" w:type="dxa"/>
            <w:noWrap w:val="0"/>
            <w:vAlign w:val="center"/>
          </w:tcPr>
          <w:p w14:paraId="5B6DC2D1">
            <w:pPr>
              <w:widowControl w:val="0"/>
              <w:spacing w:after="0" w:afterAutospacing="0"/>
              <w:jc w:val="left"/>
              <w:rPr>
                <w:rFonts w:hint="eastAsia" w:ascii="宋体" w:hAnsi="宋体" w:eastAsia="宋体" w:cs="宋体"/>
                <w:color w:val="000000"/>
                <w:sz w:val="21"/>
                <w:szCs w:val="22"/>
                <w:rtl w:val="0"/>
              </w:rPr>
            </w:pPr>
            <w:r>
              <w:rPr>
                <w:rFonts w:hint="eastAsia" w:ascii="宋体" w:hAnsi="宋体" w:eastAsia="宋体" w:cs="宋体"/>
                <w:color w:val="000000"/>
                <w:sz w:val="21"/>
                <w:szCs w:val="22"/>
                <w:rtl w:val="0"/>
                <w:lang w:val="en-US" w:eastAsia="zh-CN" w:bidi="ar-SA"/>
              </w:rPr>
              <w:t>供应商根据磋商文件“第四部分、采购需求-五、公共卫生服务作业标准及实施要求”制定公共卫生服务实施方案，主要包括对人工清扫保洁作业、垃圾分类及清运方案、垃圾桶保洁、绿化及水体保洁作业分析、公共空间及卫生间的维护方案等内容进行打分。提供的服务整体方案内容完整详细，能够针对本项目的采购需求而细化制定优于采购需求得10分；内容完整满足采购需求得5分；内容不完整，但承诺经过优化可实现采购需求的得3分；没有内容不得分。</w:t>
            </w:r>
          </w:p>
        </w:tc>
      </w:tr>
      <w:tr w14:paraId="5C78732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c>
          <w:tcPr>
            <w:tcW w:w="944" w:type="dxa"/>
            <w:vMerge w:val="continue"/>
            <w:noWrap w:val="0"/>
            <w:vAlign w:val="center"/>
          </w:tcPr>
          <w:p w14:paraId="6717E8B7">
            <w:pPr>
              <w:widowControl w:val="0"/>
              <w:spacing w:after="0" w:afterAutospacing="0"/>
              <w:jc w:val="left"/>
              <w:rPr>
                <w:rFonts w:hint="eastAsia" w:ascii="宋体" w:hAnsi="宋体" w:eastAsia="宋体" w:cs="宋体"/>
                <w:sz w:val="21"/>
                <w:szCs w:val="22"/>
                <w:lang w:val="en-US" w:eastAsia="zh-CN" w:bidi="ar-SA"/>
              </w:rPr>
            </w:pPr>
          </w:p>
        </w:tc>
        <w:tc>
          <w:tcPr>
            <w:tcW w:w="2815" w:type="dxa"/>
            <w:noWrap w:val="0"/>
            <w:vAlign w:val="center"/>
          </w:tcPr>
          <w:p w14:paraId="009A6CC5">
            <w:pPr>
              <w:widowControl w:val="0"/>
              <w:spacing w:after="0" w:afterAutospacing="0"/>
              <w:jc w:val="center"/>
              <w:rPr>
                <w:rFonts w:hint="eastAsia" w:ascii="宋体" w:hAnsi="宋体" w:eastAsia="宋体" w:cs="宋体"/>
                <w:color w:val="000000"/>
                <w:sz w:val="21"/>
                <w:szCs w:val="22"/>
                <w:rtl w:val="0"/>
              </w:rPr>
            </w:pPr>
            <w:r>
              <w:rPr>
                <w:rFonts w:hint="eastAsia" w:ascii="宋体" w:hAnsi="宋体" w:eastAsia="宋体" w:cs="宋体"/>
                <w:color w:val="000000"/>
                <w:sz w:val="21"/>
                <w:szCs w:val="22"/>
                <w:rtl w:val="0"/>
                <w:lang w:val="en-US" w:eastAsia="zh-CN" w:bidi="ar-SA"/>
              </w:rPr>
              <w:t>应急保障方案</w:t>
            </w:r>
          </w:p>
        </w:tc>
        <w:tc>
          <w:tcPr>
            <w:tcW w:w="1049" w:type="dxa"/>
            <w:noWrap w:val="0"/>
            <w:vAlign w:val="center"/>
          </w:tcPr>
          <w:p w14:paraId="62A7BE7C">
            <w:pPr>
              <w:widowControl w:val="0"/>
              <w:spacing w:after="0" w:afterAutospacing="0"/>
              <w:jc w:val="center"/>
              <w:rPr>
                <w:rFonts w:hint="eastAsia" w:ascii="宋体" w:hAnsi="宋体" w:eastAsia="宋体" w:cs="宋体"/>
                <w:color w:val="000000"/>
                <w:sz w:val="21"/>
                <w:szCs w:val="22"/>
                <w:rtl w:val="0"/>
              </w:rPr>
            </w:pPr>
            <w:r>
              <w:rPr>
                <w:rFonts w:hint="eastAsia" w:ascii="宋体" w:hAnsi="宋体" w:eastAsia="宋体" w:cs="宋体"/>
                <w:color w:val="000000"/>
                <w:sz w:val="21"/>
                <w:szCs w:val="22"/>
                <w:rtl w:val="0"/>
                <w:lang w:val="en-US" w:eastAsia="zh-CN" w:bidi="ar-SA"/>
              </w:rPr>
              <w:t>10.00</w:t>
            </w:r>
          </w:p>
        </w:tc>
        <w:tc>
          <w:tcPr>
            <w:tcW w:w="4204" w:type="dxa"/>
            <w:noWrap w:val="0"/>
            <w:vAlign w:val="center"/>
          </w:tcPr>
          <w:p w14:paraId="337312B5">
            <w:pPr>
              <w:widowControl w:val="0"/>
              <w:spacing w:after="0" w:afterAutospacing="0"/>
              <w:jc w:val="left"/>
              <w:rPr>
                <w:rFonts w:hint="eastAsia" w:ascii="宋体" w:hAnsi="宋体" w:eastAsia="宋体" w:cs="宋体"/>
                <w:color w:val="000000"/>
                <w:sz w:val="21"/>
                <w:szCs w:val="22"/>
                <w:rtl w:val="0"/>
              </w:rPr>
            </w:pPr>
            <w:r>
              <w:rPr>
                <w:rFonts w:hint="eastAsia" w:ascii="宋体" w:hAnsi="宋体" w:eastAsia="宋体" w:cs="宋体"/>
                <w:color w:val="000000"/>
                <w:sz w:val="21"/>
                <w:szCs w:val="22"/>
                <w:rtl w:val="0"/>
                <w:lang w:val="en-US" w:eastAsia="zh-CN" w:bidi="ar-SA"/>
              </w:rPr>
              <w:t>供应商根据磋商文件“第四部分、采购需求-六、应急保障方案要求”制定应急保障方案。</w:t>
            </w:r>
            <w:r>
              <w:rPr>
                <w:rFonts w:hint="eastAsia" w:ascii="宋体" w:hAnsi="宋体" w:eastAsia="宋体" w:cs="宋体"/>
                <w:color w:val="000000"/>
                <w:szCs w:val="21"/>
                <w:highlight w:val="none"/>
                <w:lang w:val="en-US" w:eastAsia="zh-CN"/>
              </w:rPr>
              <w:t>内容完整详实且</w:t>
            </w:r>
            <w:r>
              <w:rPr>
                <w:rFonts w:hint="eastAsia" w:ascii="宋体" w:hAnsi="宋体" w:eastAsia="宋体" w:cs="宋体"/>
                <w:color w:val="000000"/>
                <w:sz w:val="21"/>
                <w:szCs w:val="22"/>
                <w:rtl w:val="0"/>
                <w:lang w:val="en-US" w:eastAsia="zh-CN" w:bidi="ar-SA"/>
              </w:rPr>
              <w:t>优于采购需求得10分；内容完整满足采购需求得5分；内容不完整，但承诺经过优化可实现采购需求的得3分；没有内容不得分。</w:t>
            </w:r>
          </w:p>
        </w:tc>
      </w:tr>
      <w:tr w14:paraId="62DD8EA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c>
          <w:tcPr>
            <w:tcW w:w="944" w:type="dxa"/>
            <w:vMerge w:val="continue"/>
            <w:noWrap w:val="0"/>
            <w:vAlign w:val="center"/>
          </w:tcPr>
          <w:p w14:paraId="7AB56621">
            <w:pPr>
              <w:widowControl w:val="0"/>
              <w:spacing w:after="0" w:afterAutospacing="0"/>
              <w:jc w:val="left"/>
              <w:rPr>
                <w:rFonts w:hint="eastAsia" w:ascii="宋体" w:hAnsi="宋体" w:eastAsia="宋体" w:cs="宋体"/>
                <w:sz w:val="21"/>
                <w:szCs w:val="22"/>
                <w:lang w:val="en-US" w:eastAsia="zh-CN" w:bidi="ar-SA"/>
              </w:rPr>
            </w:pPr>
          </w:p>
        </w:tc>
        <w:tc>
          <w:tcPr>
            <w:tcW w:w="2815" w:type="dxa"/>
            <w:noWrap w:val="0"/>
            <w:vAlign w:val="center"/>
          </w:tcPr>
          <w:p w14:paraId="0E866FC3">
            <w:pPr>
              <w:widowControl w:val="0"/>
              <w:spacing w:after="0" w:afterAutospacing="0"/>
              <w:jc w:val="center"/>
              <w:rPr>
                <w:rFonts w:hint="eastAsia" w:ascii="宋体" w:hAnsi="宋体" w:eastAsia="宋体" w:cs="宋体"/>
                <w:color w:val="000000"/>
                <w:sz w:val="21"/>
                <w:szCs w:val="22"/>
              </w:rPr>
            </w:pPr>
            <w:r>
              <w:rPr>
                <w:rFonts w:hint="eastAsia" w:ascii="宋体" w:hAnsi="宋体" w:eastAsia="宋体" w:cs="宋体"/>
                <w:color w:val="000000"/>
                <w:sz w:val="21"/>
                <w:szCs w:val="22"/>
                <w:highlight w:val="none"/>
                <w:rtl w:val="0"/>
                <w:lang w:val="en-US" w:eastAsia="zh-CN" w:bidi="ar-SA"/>
              </w:rPr>
              <w:t>工具、设备及物耗方案</w:t>
            </w:r>
          </w:p>
        </w:tc>
        <w:tc>
          <w:tcPr>
            <w:tcW w:w="1049" w:type="dxa"/>
            <w:noWrap w:val="0"/>
            <w:vAlign w:val="center"/>
          </w:tcPr>
          <w:p w14:paraId="4831E2F7">
            <w:pPr>
              <w:widowControl w:val="0"/>
              <w:spacing w:after="0" w:afterAutospacing="0"/>
              <w:jc w:val="center"/>
              <w:rPr>
                <w:rFonts w:hint="eastAsia" w:ascii="宋体" w:hAnsi="宋体" w:eastAsia="宋体" w:cs="宋体"/>
                <w:color w:val="000000"/>
                <w:sz w:val="21"/>
                <w:szCs w:val="22"/>
              </w:rPr>
            </w:pPr>
            <w:r>
              <w:rPr>
                <w:rFonts w:hint="eastAsia" w:ascii="宋体" w:hAnsi="宋体" w:eastAsia="宋体" w:cs="宋体"/>
                <w:color w:val="000000"/>
                <w:sz w:val="21"/>
                <w:szCs w:val="22"/>
                <w:rtl w:val="0"/>
                <w:lang w:val="en-US" w:eastAsia="zh-CN" w:bidi="ar-SA"/>
              </w:rPr>
              <w:t>10.00</w:t>
            </w:r>
          </w:p>
        </w:tc>
        <w:tc>
          <w:tcPr>
            <w:tcW w:w="4204" w:type="dxa"/>
            <w:noWrap w:val="0"/>
            <w:vAlign w:val="center"/>
          </w:tcPr>
          <w:p w14:paraId="07AEA28A">
            <w:pPr>
              <w:widowControl w:val="0"/>
              <w:spacing w:after="0" w:afterAutospacing="0"/>
              <w:jc w:val="left"/>
              <w:rPr>
                <w:rFonts w:hint="eastAsia" w:ascii="宋体" w:hAnsi="宋体" w:eastAsia="宋体" w:cs="宋体"/>
                <w:color w:val="000000"/>
                <w:sz w:val="21"/>
                <w:szCs w:val="22"/>
              </w:rPr>
            </w:pPr>
            <w:r>
              <w:rPr>
                <w:rFonts w:hint="eastAsia" w:ascii="宋体" w:hAnsi="宋体" w:eastAsia="宋体" w:cs="宋体"/>
                <w:color w:val="000000"/>
                <w:sz w:val="21"/>
                <w:szCs w:val="22"/>
                <w:rtl w:val="0"/>
                <w:lang w:val="en-US" w:eastAsia="zh-CN" w:bidi="ar-SA"/>
              </w:rPr>
              <w:t>供应商根据磋商文件“第四部分、采购需求-七、工具、设备及物耗方案要求”制定</w:t>
            </w:r>
            <w:r>
              <w:rPr>
                <w:rFonts w:hint="eastAsia" w:ascii="宋体" w:hAnsi="宋体" w:eastAsia="宋体" w:cs="宋体"/>
                <w:color w:val="000000"/>
                <w:sz w:val="21"/>
                <w:szCs w:val="22"/>
                <w:highlight w:val="none"/>
                <w:rtl w:val="0"/>
                <w:lang w:val="en-US" w:eastAsia="zh-CN" w:bidi="ar-SA"/>
              </w:rPr>
              <w:t>工具、设备及物耗方案</w:t>
            </w:r>
            <w:r>
              <w:rPr>
                <w:rFonts w:hint="eastAsia" w:ascii="宋体" w:hAnsi="宋体" w:eastAsia="宋体" w:cs="宋体"/>
                <w:color w:val="000000"/>
                <w:sz w:val="21"/>
                <w:szCs w:val="22"/>
                <w:rtl w:val="0"/>
                <w:lang w:val="en-US" w:eastAsia="zh-CN" w:bidi="ar-SA"/>
              </w:rPr>
              <w:t>。</w:t>
            </w:r>
            <w:r>
              <w:rPr>
                <w:rFonts w:hint="eastAsia" w:ascii="宋体" w:hAnsi="宋体" w:eastAsia="宋体" w:cs="宋体"/>
                <w:color w:val="000000"/>
                <w:sz w:val="21"/>
                <w:szCs w:val="22"/>
                <w:highlight w:val="none"/>
                <w:rtl w:val="0"/>
                <w:lang w:val="en-US" w:eastAsia="zh-CN" w:bidi="ar-SA"/>
              </w:rPr>
              <w:t>根据投标人提供的工具、设备及物耗情况进行打分，包括：配置工具、设备明细表、物耗明细表及具体情况说明等,提供的明细表内容完整详细，能够针对本项目的要求而细化制定，</w:t>
            </w:r>
            <w:r>
              <w:rPr>
                <w:rFonts w:hint="eastAsia" w:ascii="宋体" w:hAnsi="宋体" w:eastAsia="宋体" w:cs="宋体"/>
                <w:color w:val="000000"/>
                <w:szCs w:val="21"/>
                <w:highlight w:val="none"/>
                <w:lang w:val="en-US" w:eastAsia="zh-CN"/>
              </w:rPr>
              <w:t>内容完整详实</w:t>
            </w:r>
            <w:r>
              <w:rPr>
                <w:rFonts w:hint="eastAsia" w:ascii="宋体" w:hAnsi="宋体" w:eastAsia="宋体" w:cs="宋体"/>
                <w:color w:val="000000"/>
                <w:sz w:val="21"/>
                <w:szCs w:val="22"/>
                <w:rtl w:val="0"/>
                <w:lang w:val="en-US" w:eastAsia="zh-CN" w:bidi="ar-SA"/>
              </w:rPr>
              <w:t>优于采购需求得10分；内容完整满足采购需求得7分；内容不完整，但承诺经过优化可实现采购需求的得4分；没有内容不得分</w:t>
            </w:r>
            <w:r>
              <w:rPr>
                <w:rFonts w:hint="eastAsia" w:ascii="宋体" w:hAnsi="宋体" w:eastAsia="宋体" w:cs="宋体"/>
                <w:color w:val="000000"/>
                <w:sz w:val="21"/>
                <w:szCs w:val="22"/>
                <w:highlight w:val="none"/>
                <w:rtl w:val="0"/>
                <w:lang w:val="en-US" w:eastAsia="zh-CN" w:bidi="ar-SA"/>
              </w:rPr>
              <w:t>。</w:t>
            </w:r>
          </w:p>
        </w:tc>
      </w:tr>
      <w:tr w14:paraId="11B2AD3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c>
          <w:tcPr>
            <w:tcW w:w="944" w:type="dxa"/>
            <w:vMerge w:val="continue"/>
            <w:noWrap w:val="0"/>
            <w:vAlign w:val="center"/>
          </w:tcPr>
          <w:p w14:paraId="251A1A05">
            <w:pPr>
              <w:widowControl w:val="0"/>
              <w:spacing w:after="0" w:afterAutospacing="0"/>
              <w:jc w:val="left"/>
              <w:rPr>
                <w:rFonts w:hint="eastAsia" w:ascii="宋体" w:hAnsi="宋体" w:eastAsia="宋体" w:cs="宋体"/>
                <w:sz w:val="21"/>
                <w:szCs w:val="22"/>
                <w:lang w:val="en-US" w:eastAsia="zh-CN" w:bidi="ar-SA"/>
              </w:rPr>
            </w:pPr>
          </w:p>
        </w:tc>
        <w:tc>
          <w:tcPr>
            <w:tcW w:w="2815" w:type="dxa"/>
            <w:noWrap w:val="0"/>
            <w:vAlign w:val="center"/>
          </w:tcPr>
          <w:p w14:paraId="65059857">
            <w:pPr>
              <w:widowControl w:val="0"/>
              <w:spacing w:after="0" w:afterAutospacing="0"/>
              <w:jc w:val="center"/>
              <w:rPr>
                <w:rFonts w:hint="eastAsia" w:ascii="宋体" w:hAnsi="宋体" w:eastAsia="宋体" w:cs="宋体"/>
                <w:color w:val="000000"/>
                <w:sz w:val="21"/>
                <w:szCs w:val="22"/>
                <w:lang w:val="en-US" w:eastAsia="zh-CN" w:bidi="ar-SA"/>
              </w:rPr>
            </w:pPr>
            <w:r>
              <w:rPr>
                <w:rFonts w:hint="eastAsia" w:ascii="宋体" w:hAnsi="宋体" w:eastAsia="宋体" w:cs="宋体"/>
                <w:color w:val="000000"/>
                <w:sz w:val="21"/>
                <w:szCs w:val="22"/>
                <w:rtl w:val="0"/>
                <w:lang w:val="en-US" w:eastAsia="zh-CN" w:bidi="ar-SA"/>
              </w:rPr>
              <w:t>安全、文明作业实施方案</w:t>
            </w:r>
          </w:p>
        </w:tc>
        <w:tc>
          <w:tcPr>
            <w:tcW w:w="1049" w:type="dxa"/>
            <w:noWrap w:val="0"/>
            <w:vAlign w:val="center"/>
          </w:tcPr>
          <w:p w14:paraId="69FE4EE8">
            <w:pPr>
              <w:widowControl w:val="0"/>
              <w:spacing w:after="0" w:afterAutospacing="0"/>
              <w:jc w:val="center"/>
              <w:rPr>
                <w:rFonts w:hint="eastAsia" w:ascii="宋体" w:hAnsi="宋体" w:eastAsia="宋体" w:cs="宋体"/>
                <w:color w:val="000000"/>
                <w:sz w:val="21"/>
                <w:szCs w:val="22"/>
                <w:lang w:val="en-US" w:eastAsia="zh-CN" w:bidi="ar-SA"/>
              </w:rPr>
            </w:pPr>
            <w:r>
              <w:rPr>
                <w:rFonts w:hint="eastAsia" w:ascii="宋体" w:hAnsi="宋体" w:eastAsia="宋体" w:cs="宋体"/>
                <w:color w:val="000000"/>
                <w:sz w:val="21"/>
                <w:szCs w:val="22"/>
                <w:rtl w:val="0"/>
                <w:lang w:val="en-US" w:eastAsia="zh-CN" w:bidi="ar-SA"/>
              </w:rPr>
              <w:t>8.00</w:t>
            </w:r>
          </w:p>
        </w:tc>
        <w:tc>
          <w:tcPr>
            <w:tcW w:w="4204" w:type="dxa"/>
            <w:noWrap w:val="0"/>
            <w:vAlign w:val="center"/>
          </w:tcPr>
          <w:p w14:paraId="5B06DAE0">
            <w:pPr>
              <w:widowControl w:val="0"/>
              <w:spacing w:after="0" w:afterAutospacing="0"/>
              <w:jc w:val="left"/>
              <w:rPr>
                <w:rFonts w:hint="eastAsia" w:ascii="宋体" w:hAnsi="宋体" w:eastAsia="宋体" w:cs="宋体"/>
                <w:color w:val="000000"/>
                <w:sz w:val="21"/>
                <w:szCs w:val="22"/>
                <w:lang w:val="en-US" w:eastAsia="zh-CN" w:bidi="ar-SA"/>
              </w:rPr>
            </w:pPr>
            <w:r>
              <w:rPr>
                <w:rFonts w:hint="eastAsia" w:ascii="宋体" w:hAnsi="宋体" w:eastAsia="宋体" w:cs="宋体"/>
                <w:color w:val="000000"/>
                <w:sz w:val="21"/>
                <w:szCs w:val="22"/>
                <w:rtl w:val="0"/>
                <w:lang w:val="en-US" w:eastAsia="zh-CN" w:bidi="ar-SA"/>
              </w:rPr>
              <w:t>供应商根据磋商文件“第四部分、采购需求-八、安全、文明作业实施方案要求”制定安全、文明作业实施方案。依据供应商对项目实施过程中的安全作业方案及文明作业管理实施方案进行评分。</w:t>
            </w:r>
            <w:r>
              <w:rPr>
                <w:rFonts w:hint="eastAsia" w:ascii="宋体" w:hAnsi="宋体" w:eastAsia="宋体" w:cs="宋体"/>
                <w:color w:val="000000"/>
                <w:szCs w:val="21"/>
                <w:highlight w:val="none"/>
                <w:lang w:val="en-US" w:eastAsia="zh-CN"/>
              </w:rPr>
              <w:t>内容完整详实且</w:t>
            </w:r>
            <w:r>
              <w:rPr>
                <w:rFonts w:hint="eastAsia" w:ascii="宋体" w:hAnsi="宋体" w:eastAsia="宋体" w:cs="宋体"/>
                <w:color w:val="000000"/>
                <w:sz w:val="21"/>
                <w:szCs w:val="22"/>
                <w:rtl w:val="0"/>
                <w:lang w:val="en-US" w:eastAsia="zh-CN" w:bidi="ar-SA"/>
              </w:rPr>
              <w:t>优于采购需求得8分；</w:t>
            </w:r>
            <w:r>
              <w:rPr>
                <w:rFonts w:hint="eastAsia" w:ascii="Calibri" w:hAnsi="Calibri" w:eastAsia="宋体" w:cs="Times New Roman"/>
                <w:color w:val="000000"/>
                <w:szCs w:val="22"/>
              </w:rPr>
              <w:t>内容</w:t>
            </w:r>
            <w:r>
              <w:rPr>
                <w:rFonts w:hint="eastAsia" w:ascii="Calibri" w:hAnsi="Calibri" w:eastAsia="宋体" w:cs="Times New Roman"/>
                <w:color w:val="000000"/>
                <w:szCs w:val="22"/>
                <w:lang w:val="en-US" w:eastAsia="zh-CN"/>
              </w:rPr>
              <w:t>完整</w:t>
            </w:r>
            <w:r>
              <w:rPr>
                <w:rFonts w:hint="eastAsia" w:ascii="宋体" w:hAnsi="宋体" w:eastAsia="宋体" w:cs="宋体"/>
                <w:color w:val="000000"/>
                <w:sz w:val="21"/>
                <w:szCs w:val="22"/>
                <w:rtl w:val="0"/>
                <w:lang w:val="en-US" w:eastAsia="zh-CN" w:bidi="ar-SA"/>
              </w:rPr>
              <w:t>满足采购需求得5分；内容不完整，但承诺经过优化可实现采购需求的得3分；没有内容不得分。</w:t>
            </w:r>
          </w:p>
        </w:tc>
      </w:tr>
      <w:tr w14:paraId="040576B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c>
          <w:tcPr>
            <w:tcW w:w="944" w:type="dxa"/>
            <w:vMerge w:val="continue"/>
            <w:noWrap w:val="0"/>
            <w:vAlign w:val="center"/>
          </w:tcPr>
          <w:p w14:paraId="2A35DB07">
            <w:pPr>
              <w:widowControl w:val="0"/>
              <w:spacing w:after="0" w:afterAutospacing="0"/>
              <w:jc w:val="left"/>
              <w:rPr>
                <w:rFonts w:hint="eastAsia" w:ascii="宋体" w:hAnsi="宋体" w:eastAsia="宋体" w:cs="宋体"/>
                <w:sz w:val="21"/>
                <w:szCs w:val="22"/>
                <w:lang w:val="en-US" w:eastAsia="zh-CN" w:bidi="ar-SA"/>
              </w:rPr>
            </w:pPr>
          </w:p>
        </w:tc>
        <w:tc>
          <w:tcPr>
            <w:tcW w:w="2815" w:type="dxa"/>
            <w:noWrap w:val="0"/>
            <w:vAlign w:val="center"/>
          </w:tcPr>
          <w:p w14:paraId="7FF7D83E">
            <w:pPr>
              <w:widowControl w:val="0"/>
              <w:spacing w:after="0" w:afterAutospacing="0"/>
              <w:jc w:val="center"/>
              <w:rPr>
                <w:rFonts w:hint="eastAsia" w:ascii="宋体" w:hAnsi="宋体" w:eastAsia="宋体" w:cs="宋体"/>
                <w:color w:val="000000"/>
                <w:sz w:val="21"/>
                <w:szCs w:val="22"/>
                <w:rtl w:val="0"/>
                <w:lang w:val="en-US" w:eastAsia="zh-CN" w:bidi="ar-SA"/>
              </w:rPr>
            </w:pPr>
            <w:r>
              <w:rPr>
                <w:rFonts w:hint="eastAsia" w:ascii="宋体" w:hAnsi="宋体" w:eastAsia="宋体" w:cs="Times New Roman"/>
                <w:color w:val="000000"/>
                <w:sz w:val="21"/>
              </w:rPr>
              <w:t>进退场交接方案</w:t>
            </w:r>
          </w:p>
        </w:tc>
        <w:tc>
          <w:tcPr>
            <w:tcW w:w="1049" w:type="dxa"/>
            <w:noWrap w:val="0"/>
            <w:vAlign w:val="center"/>
          </w:tcPr>
          <w:p w14:paraId="1CC736B9">
            <w:pPr>
              <w:widowControl w:val="0"/>
              <w:spacing w:after="0" w:afterAutospacing="0"/>
              <w:jc w:val="center"/>
              <w:rPr>
                <w:rFonts w:hint="default" w:ascii="宋体" w:hAnsi="宋体" w:eastAsia="宋体" w:cs="宋体"/>
                <w:color w:val="000000"/>
                <w:sz w:val="21"/>
                <w:szCs w:val="22"/>
                <w:rtl w:val="0"/>
                <w:lang w:val="en-US" w:eastAsia="zh-CN" w:bidi="ar-SA"/>
              </w:rPr>
            </w:pPr>
            <w:r>
              <w:rPr>
                <w:rFonts w:hint="eastAsia" w:ascii="宋体" w:hAnsi="宋体" w:eastAsia="宋体" w:cs="宋体"/>
                <w:color w:val="000000"/>
                <w:sz w:val="21"/>
                <w:szCs w:val="22"/>
                <w:rtl w:val="0"/>
                <w:lang w:val="en-US" w:eastAsia="zh-CN" w:bidi="ar-SA"/>
              </w:rPr>
              <w:t>6.00</w:t>
            </w:r>
          </w:p>
        </w:tc>
        <w:tc>
          <w:tcPr>
            <w:tcW w:w="4204" w:type="dxa"/>
            <w:noWrap w:val="0"/>
            <w:vAlign w:val="center"/>
          </w:tcPr>
          <w:p w14:paraId="2A42707B">
            <w:pPr>
              <w:widowControl w:val="0"/>
              <w:spacing w:after="0" w:afterAutospacing="0"/>
              <w:jc w:val="left"/>
              <w:rPr>
                <w:rFonts w:hint="eastAsia" w:ascii="宋体" w:hAnsi="宋体" w:eastAsia="宋体" w:cs="宋体"/>
                <w:color w:val="000000"/>
                <w:sz w:val="21"/>
                <w:szCs w:val="22"/>
                <w:rtl w:val="0"/>
                <w:lang w:val="en-US" w:eastAsia="zh-CN" w:bidi="ar-SA"/>
              </w:rPr>
            </w:pPr>
            <w:r>
              <w:rPr>
                <w:rFonts w:hint="eastAsia" w:ascii="宋体" w:hAnsi="宋体" w:eastAsia="宋体" w:cs="宋体"/>
                <w:color w:val="000000"/>
                <w:sz w:val="21"/>
                <w:szCs w:val="22"/>
                <w:rtl w:val="0"/>
                <w:lang w:val="en-US" w:eastAsia="zh-CN" w:bidi="ar-SA"/>
              </w:rPr>
              <w:t>供应商根据磋商文件“第四部分、采购需求-九、进退场交接方案要求”制定安全、文明作业实施方案。依据供应商对项目</w:t>
            </w:r>
            <w:r>
              <w:rPr>
                <w:rFonts w:hint="eastAsia" w:ascii="Calibri" w:hAnsi="Calibri" w:eastAsia="宋体" w:cs="Times New Roman"/>
                <w:color w:val="000000"/>
                <w:szCs w:val="22"/>
              </w:rPr>
              <w:t>进退场交接方案。内容详实</w:t>
            </w:r>
            <w:r>
              <w:rPr>
                <w:rFonts w:hint="eastAsia" w:ascii="Calibri" w:hAnsi="Calibri" w:eastAsia="宋体" w:cs="Times New Roman"/>
                <w:color w:val="000000"/>
                <w:szCs w:val="22"/>
                <w:lang w:val="en-US" w:eastAsia="zh-CN"/>
              </w:rPr>
              <w:t>且优于采购需求的</w:t>
            </w:r>
            <w:r>
              <w:rPr>
                <w:rFonts w:hint="eastAsia" w:ascii="Calibri" w:hAnsi="Calibri" w:eastAsia="宋体" w:cs="Times New Roman"/>
                <w:color w:val="000000"/>
                <w:szCs w:val="22"/>
              </w:rPr>
              <w:t>得</w:t>
            </w:r>
            <w:r>
              <w:rPr>
                <w:rFonts w:hint="eastAsia" w:ascii="Calibri" w:hAnsi="Calibri" w:eastAsia="宋体" w:cs="Times New Roman"/>
                <w:color w:val="000000"/>
                <w:szCs w:val="22"/>
                <w:lang w:val="en-US" w:eastAsia="zh-CN"/>
              </w:rPr>
              <w:t>6</w:t>
            </w:r>
            <w:r>
              <w:rPr>
                <w:rFonts w:hint="eastAsia" w:ascii="Calibri" w:hAnsi="Calibri" w:eastAsia="宋体" w:cs="Times New Roman"/>
                <w:color w:val="000000"/>
                <w:szCs w:val="22"/>
              </w:rPr>
              <w:t>分；内容</w:t>
            </w:r>
            <w:r>
              <w:rPr>
                <w:rFonts w:hint="eastAsia" w:ascii="Calibri" w:hAnsi="Calibri" w:eastAsia="宋体" w:cs="Times New Roman"/>
                <w:color w:val="000000"/>
                <w:szCs w:val="22"/>
                <w:lang w:val="en-US" w:eastAsia="zh-CN"/>
              </w:rPr>
              <w:t>完整</w:t>
            </w:r>
            <w:r>
              <w:rPr>
                <w:rFonts w:hint="eastAsia" w:ascii="宋体" w:hAnsi="宋体" w:eastAsia="宋体" w:cs="宋体"/>
                <w:color w:val="000000"/>
                <w:sz w:val="21"/>
                <w:szCs w:val="22"/>
                <w:rtl w:val="0"/>
                <w:lang w:val="en-US" w:eastAsia="zh-CN" w:bidi="ar-SA"/>
              </w:rPr>
              <w:t>满足采购需求</w:t>
            </w:r>
            <w:r>
              <w:rPr>
                <w:rFonts w:hint="eastAsia" w:ascii="Calibri" w:hAnsi="Calibri" w:eastAsia="宋体" w:cs="Times New Roman"/>
                <w:color w:val="000000"/>
                <w:szCs w:val="22"/>
              </w:rPr>
              <w:t>得3分；</w:t>
            </w:r>
            <w:r>
              <w:rPr>
                <w:rFonts w:hint="eastAsia" w:ascii="宋体" w:hAnsi="宋体" w:eastAsia="宋体" w:cs="宋体"/>
                <w:color w:val="000000"/>
                <w:sz w:val="21"/>
                <w:szCs w:val="22"/>
                <w:rtl w:val="0"/>
                <w:lang w:val="en-US" w:eastAsia="zh-CN" w:bidi="ar-SA"/>
              </w:rPr>
              <w:t>内容不完整，但承诺经过优化可实现采购需求的</w:t>
            </w:r>
            <w:r>
              <w:rPr>
                <w:rFonts w:hint="eastAsia" w:ascii="Calibri" w:hAnsi="Calibri" w:eastAsia="宋体" w:cs="Times New Roman"/>
                <w:color w:val="000000"/>
                <w:szCs w:val="22"/>
              </w:rPr>
              <w:t>得</w:t>
            </w:r>
            <w:r>
              <w:rPr>
                <w:rFonts w:hint="eastAsia" w:ascii="Calibri" w:hAnsi="Calibri" w:eastAsia="宋体" w:cs="Times New Roman"/>
                <w:color w:val="000000"/>
                <w:szCs w:val="22"/>
                <w:lang w:val="en-US" w:eastAsia="zh-CN"/>
              </w:rPr>
              <w:t>2</w:t>
            </w:r>
            <w:r>
              <w:rPr>
                <w:rFonts w:hint="eastAsia" w:ascii="Calibri" w:hAnsi="Calibri" w:eastAsia="宋体" w:cs="Times New Roman"/>
                <w:color w:val="000000"/>
                <w:szCs w:val="22"/>
              </w:rPr>
              <w:t>分；</w:t>
            </w:r>
            <w:r>
              <w:rPr>
                <w:rFonts w:hint="eastAsia" w:ascii="宋体" w:hAnsi="宋体" w:eastAsia="宋体" w:cs="宋体"/>
                <w:color w:val="000000"/>
                <w:sz w:val="21"/>
                <w:szCs w:val="22"/>
                <w:rtl w:val="0"/>
                <w:lang w:val="en-US" w:eastAsia="zh-CN" w:bidi="ar-SA"/>
              </w:rPr>
              <w:t>没有内容不得分。</w:t>
            </w:r>
          </w:p>
        </w:tc>
      </w:tr>
    </w:tbl>
    <w:p w14:paraId="67F3D8AF">
      <w:pPr>
        <w:rPr>
          <w:rFonts w:ascii="Times New Roman" w:hAnsi="Times New Roman"/>
          <w:b/>
          <w:color w:val="auto"/>
          <w:sz w:val="44"/>
          <w:szCs w:val="44"/>
          <w:highlight w:val="none"/>
        </w:rPr>
      </w:pPr>
      <w:r>
        <w:rPr>
          <w:rFonts w:ascii="Times New Roman" w:hAnsi="Times New Roman"/>
          <w:b/>
          <w:color w:val="auto"/>
          <w:sz w:val="44"/>
          <w:szCs w:val="44"/>
          <w:highlight w:val="none"/>
        </w:rPr>
        <w:br w:type="page"/>
      </w:r>
    </w:p>
    <w:p w14:paraId="10CCA305">
      <w:pPr>
        <w:spacing w:line="500" w:lineRule="exact"/>
        <w:jc w:val="center"/>
        <w:outlineLvl w:val="0"/>
        <w:rPr>
          <w:rFonts w:ascii="Times New Roman" w:hAnsi="Times New Roman"/>
          <w:b/>
          <w:color w:val="auto"/>
          <w:sz w:val="44"/>
          <w:szCs w:val="44"/>
          <w:highlight w:val="none"/>
        </w:rPr>
      </w:pPr>
      <w:bookmarkStart w:id="78" w:name="_Toc31956"/>
      <w:bookmarkStart w:id="79" w:name="_Toc1519"/>
      <w:r>
        <w:rPr>
          <w:rFonts w:ascii="Times New Roman" w:hAnsi="Times New Roman"/>
          <w:b/>
          <w:color w:val="auto"/>
          <w:sz w:val="44"/>
          <w:szCs w:val="44"/>
          <w:highlight w:val="none"/>
        </w:rPr>
        <w:t>第四</w:t>
      </w:r>
      <w:r>
        <w:rPr>
          <w:rFonts w:hint="eastAsia" w:ascii="Times New Roman" w:hAnsi="Times New Roman"/>
          <w:b/>
          <w:color w:val="auto"/>
          <w:sz w:val="44"/>
          <w:szCs w:val="44"/>
          <w:highlight w:val="none"/>
        </w:rPr>
        <w:t xml:space="preserve">章  </w:t>
      </w:r>
      <w:r>
        <w:rPr>
          <w:rFonts w:ascii="Times New Roman" w:hAnsi="Times New Roman"/>
          <w:b/>
          <w:color w:val="auto"/>
          <w:sz w:val="44"/>
          <w:szCs w:val="44"/>
          <w:highlight w:val="none"/>
        </w:rPr>
        <w:t>采购需求</w:t>
      </w:r>
      <w:bookmarkEnd w:id="77"/>
      <w:bookmarkEnd w:id="78"/>
      <w:bookmarkEnd w:id="79"/>
    </w:p>
    <w:p w14:paraId="6C67C43A">
      <w:pPr>
        <w:spacing w:line="400" w:lineRule="exact"/>
        <w:ind w:firstLine="482" w:firstLineChars="200"/>
        <w:rPr>
          <w:rFonts w:hint="eastAsia" w:ascii="宋体" w:hAnsi="宋体"/>
          <w:b/>
          <w:color w:val="auto"/>
          <w:sz w:val="24"/>
          <w:szCs w:val="24"/>
          <w:highlight w:val="none"/>
        </w:rPr>
      </w:pPr>
      <w:bookmarkStart w:id="80" w:name="_Toc22280"/>
      <w:bookmarkStart w:id="81" w:name="_Toc17639"/>
    </w:p>
    <w:p w14:paraId="503E0C2D">
      <w:pPr>
        <w:keepNext w:val="0"/>
        <w:keepLines w:val="0"/>
        <w:pageBreakBefore w:val="0"/>
        <w:widowControl w:val="0"/>
        <w:spacing w:before="0" w:after="200" w:line="440" w:lineRule="exact"/>
        <w:ind w:left="0" w:right="0" w:firstLine="0"/>
        <w:jc w:val="left"/>
        <w:outlineLvl w:val="9"/>
        <w:rPr>
          <w:rFonts w:hint="eastAsia" w:ascii="宋体" w:hAnsi="宋体" w:eastAsia="宋体" w:cs="宋体"/>
          <w:spacing w:val="0"/>
          <w:sz w:val="24"/>
          <w:szCs w:val="24"/>
          <w:highlight w:val="none"/>
          <w:lang w:val="en-US" w:eastAsia="en-US" w:bidi="ar-SA"/>
        </w:rPr>
      </w:pPr>
      <w:r>
        <w:rPr>
          <w:rFonts w:hint="eastAsia" w:ascii="宋体" w:hAnsi="宋体" w:eastAsia="宋体" w:cs="宋体"/>
          <w:spacing w:val="0"/>
          <w:sz w:val="24"/>
          <w:szCs w:val="24"/>
          <w:highlight w:val="none"/>
          <w:lang w:val="en-US" w:eastAsia="zh-CN" w:bidi="ar-SA"/>
        </w:rPr>
        <w:t>项目属性：</w:t>
      </w:r>
      <w:r>
        <w:rPr>
          <w:rFonts w:hint="eastAsia" w:ascii="宋体" w:hAnsi="宋体" w:eastAsia="宋体" w:cs="宋体"/>
          <w:spacing w:val="0"/>
          <w:sz w:val="24"/>
          <w:szCs w:val="24"/>
          <w:highlight w:val="none"/>
          <w:u w:val="single"/>
          <w:lang w:val="en-US" w:eastAsia="zh-CN" w:bidi="ar-SA"/>
        </w:rPr>
        <w:t>服务类项目</w:t>
      </w:r>
      <w:r>
        <w:rPr>
          <w:rFonts w:hint="eastAsia" w:ascii="宋体" w:hAnsi="宋体" w:eastAsia="宋体" w:cs="宋体"/>
          <w:spacing w:val="0"/>
          <w:sz w:val="24"/>
          <w:szCs w:val="24"/>
          <w:highlight w:val="none"/>
          <w:lang w:val="en-US" w:eastAsia="zh-CN" w:bidi="ar-SA"/>
        </w:rPr>
        <w:t>。</w:t>
      </w:r>
    </w:p>
    <w:p w14:paraId="400511B6">
      <w:pPr>
        <w:keepNext w:val="0"/>
        <w:keepLines w:val="0"/>
        <w:pageBreakBefore w:val="0"/>
        <w:widowControl w:val="0"/>
        <w:spacing w:before="0" w:after="200" w:line="440" w:lineRule="exact"/>
        <w:ind w:left="0" w:right="0" w:firstLine="0"/>
        <w:jc w:val="left"/>
        <w:outlineLvl w:val="9"/>
        <w:rPr>
          <w:rFonts w:hint="eastAsia" w:ascii="宋体" w:hAnsi="宋体" w:eastAsia="宋体" w:cs="宋体"/>
          <w:spacing w:val="0"/>
          <w:sz w:val="24"/>
          <w:szCs w:val="24"/>
          <w:highlight w:val="none"/>
          <w:lang w:val="en-US" w:eastAsia="en-US" w:bidi="ar-SA"/>
        </w:rPr>
      </w:pPr>
      <w:r>
        <w:rPr>
          <w:rFonts w:hint="eastAsia" w:ascii="宋体" w:hAnsi="宋体" w:eastAsia="宋体" w:cs="宋体"/>
          <w:spacing w:val="0"/>
          <w:sz w:val="24"/>
          <w:szCs w:val="24"/>
          <w:highlight w:val="none"/>
          <w:lang w:val="en-US" w:eastAsia="zh-CN" w:bidi="ar-SA"/>
        </w:rPr>
        <w:t>本项目采购标的对应的中小企业划分标准所属行业：</w:t>
      </w:r>
      <w:r>
        <w:rPr>
          <w:rFonts w:hint="eastAsia" w:ascii="宋体" w:hAnsi="宋体" w:eastAsia="宋体" w:cs="宋体"/>
          <w:spacing w:val="0"/>
          <w:sz w:val="24"/>
          <w:szCs w:val="24"/>
          <w:highlight w:val="none"/>
          <w:u w:val="single"/>
          <w:lang w:val="en-US" w:eastAsia="zh-CN" w:bidi="ar-SA"/>
        </w:rPr>
        <w:t>其他未列明行业</w:t>
      </w:r>
      <w:r>
        <w:rPr>
          <w:rFonts w:hint="eastAsia" w:ascii="宋体" w:hAnsi="宋体" w:eastAsia="宋体" w:cs="宋体"/>
          <w:spacing w:val="0"/>
          <w:sz w:val="24"/>
          <w:szCs w:val="24"/>
          <w:highlight w:val="none"/>
          <w:lang w:val="en-US" w:eastAsia="zh-CN" w:bidi="ar-SA"/>
        </w:rPr>
        <w:t>。</w:t>
      </w:r>
    </w:p>
    <w:p w14:paraId="4DEEC2D0">
      <w:pPr>
        <w:spacing w:line="400" w:lineRule="exact"/>
        <w:jc w:val="both"/>
        <w:outlineLvl w:val="9"/>
        <w:rPr>
          <w:rFonts w:hint="eastAsia" w:ascii="宋体" w:hAnsi="宋体" w:eastAsia="宋体" w:cs="宋体"/>
          <w:b/>
          <w:color w:val="000000"/>
          <w:sz w:val="24"/>
          <w:szCs w:val="24"/>
          <w:highlight w:val="none"/>
          <w:rtl w:val="0"/>
          <w:lang w:val="en-US" w:eastAsia="zh-CN"/>
        </w:rPr>
      </w:pPr>
      <w:r>
        <w:rPr>
          <w:rFonts w:hint="eastAsia" w:ascii="宋体" w:hAnsi="宋体" w:eastAsia="宋体" w:cs="宋体"/>
          <w:b/>
          <w:color w:val="000000"/>
          <w:sz w:val="24"/>
          <w:szCs w:val="24"/>
          <w:highlight w:val="none"/>
          <w:rtl w:val="0"/>
          <w:lang w:val="en-US" w:eastAsia="zh-CN"/>
        </w:rPr>
        <w:t>一、项目概况</w:t>
      </w:r>
    </w:p>
    <w:p w14:paraId="30256454">
      <w:pPr>
        <w:keepNext w:val="0"/>
        <w:keepLines w:val="0"/>
        <w:pageBreakBefore w:val="0"/>
        <w:widowControl w:val="0"/>
        <w:spacing w:before="0" w:after="0" w:line="440" w:lineRule="exact"/>
        <w:ind w:left="0" w:right="0" w:firstLine="480"/>
        <w:jc w:val="left"/>
        <w:rPr>
          <w:rFonts w:hint="eastAsia" w:ascii="宋体" w:hAnsi="宋体" w:eastAsia="宋体" w:cs="宋体"/>
          <w:b w:val="0"/>
          <w:bCs/>
          <w:color w:val="000000"/>
          <w:spacing w:val="0"/>
          <w:sz w:val="24"/>
          <w:szCs w:val="24"/>
          <w:highlight w:val="none"/>
          <w:lang w:val="en-US" w:eastAsia="zh-CN" w:bidi="ar-SA"/>
        </w:rPr>
      </w:pPr>
      <w:r>
        <w:rPr>
          <w:rFonts w:hint="eastAsia" w:ascii="宋体" w:hAnsi="宋体" w:eastAsia="宋体" w:cs="宋体"/>
          <w:b w:val="0"/>
          <w:bCs/>
          <w:color w:val="000000"/>
          <w:spacing w:val="0"/>
          <w:sz w:val="24"/>
          <w:szCs w:val="24"/>
          <w:highlight w:val="none"/>
          <w:lang w:val="en-US" w:eastAsia="zh-CN" w:bidi="ar-SA"/>
        </w:rPr>
        <w:t>（一）项目名称：沭阳县人民政府章集街道年度保洁外包服务项目</w:t>
      </w:r>
    </w:p>
    <w:p w14:paraId="065A4CDA">
      <w:pPr>
        <w:keepNext w:val="0"/>
        <w:keepLines w:val="0"/>
        <w:pageBreakBefore w:val="0"/>
        <w:widowControl w:val="0"/>
        <w:spacing w:before="0" w:after="0" w:line="440" w:lineRule="exact"/>
        <w:ind w:left="0" w:right="0" w:firstLine="480"/>
        <w:jc w:val="left"/>
        <w:rPr>
          <w:rFonts w:hint="eastAsia" w:ascii="宋体" w:hAnsi="宋体" w:eastAsia="宋体" w:cs="宋体"/>
          <w:b w:val="0"/>
          <w:bCs/>
          <w:color w:val="000000"/>
          <w:spacing w:val="0"/>
          <w:sz w:val="24"/>
          <w:szCs w:val="24"/>
          <w:highlight w:val="none"/>
          <w:lang w:val="en-US" w:eastAsia="en-US" w:bidi="ar-SA"/>
        </w:rPr>
      </w:pPr>
      <w:r>
        <w:rPr>
          <w:rFonts w:hint="eastAsia" w:ascii="宋体" w:hAnsi="宋体" w:eastAsia="宋体" w:cs="宋体"/>
          <w:b w:val="0"/>
          <w:bCs/>
          <w:color w:val="000000"/>
          <w:spacing w:val="0"/>
          <w:sz w:val="24"/>
          <w:szCs w:val="24"/>
          <w:highlight w:val="none"/>
          <w:lang w:val="en-US" w:eastAsia="zh-CN" w:bidi="ar-SA"/>
        </w:rPr>
        <w:t>（二）项目地点：沭阳县人民政府章集街道</w:t>
      </w:r>
    </w:p>
    <w:p w14:paraId="5B26BBE9">
      <w:pPr>
        <w:keepNext w:val="0"/>
        <w:keepLines w:val="0"/>
        <w:pageBreakBefore w:val="0"/>
        <w:widowControl w:val="0"/>
        <w:spacing w:before="0" w:after="0" w:line="440" w:lineRule="exact"/>
        <w:ind w:left="0" w:right="0" w:firstLine="480"/>
        <w:jc w:val="left"/>
        <w:rPr>
          <w:rFonts w:hint="eastAsia" w:ascii="宋体" w:hAnsi="宋体" w:eastAsia="宋体" w:cs="宋体"/>
          <w:b w:val="0"/>
          <w:bCs/>
          <w:color w:val="000000"/>
          <w:spacing w:val="0"/>
          <w:sz w:val="24"/>
          <w:szCs w:val="24"/>
          <w:highlight w:val="none"/>
          <w:lang w:val="en-US" w:eastAsia="zh-CN" w:bidi="ar-SA"/>
        </w:rPr>
      </w:pPr>
      <w:r>
        <w:rPr>
          <w:rFonts w:hint="eastAsia" w:ascii="宋体" w:hAnsi="宋体" w:eastAsia="宋体" w:cs="宋体"/>
          <w:b w:val="0"/>
          <w:bCs/>
          <w:color w:val="000000"/>
          <w:spacing w:val="0"/>
          <w:sz w:val="24"/>
          <w:szCs w:val="24"/>
          <w:highlight w:val="none"/>
          <w:lang w:val="en-US" w:eastAsia="zh-CN" w:bidi="ar-SA"/>
        </w:rPr>
        <w:t>（三）采购范围：沭阳县人民政府章集街道辖区内村道、乡道、省道、国道(含两侧可视范围)，小区、公厕、工业园区公共卫生服务外包以及维修。</w:t>
      </w:r>
    </w:p>
    <w:p w14:paraId="3AF23655">
      <w:pPr>
        <w:keepNext w:val="0"/>
        <w:keepLines w:val="0"/>
        <w:pageBreakBefore w:val="0"/>
        <w:widowControl w:val="0"/>
        <w:spacing w:before="0" w:after="0" w:line="440" w:lineRule="exact"/>
        <w:ind w:left="0" w:right="0" w:firstLine="480"/>
        <w:jc w:val="left"/>
        <w:rPr>
          <w:rFonts w:hint="default" w:ascii="宋体" w:hAnsi="宋体" w:eastAsia="宋体" w:cs="宋体"/>
          <w:b w:val="0"/>
          <w:bCs/>
          <w:color w:val="000000"/>
          <w:spacing w:val="0"/>
          <w:sz w:val="24"/>
          <w:szCs w:val="24"/>
          <w:highlight w:val="none"/>
          <w:lang w:val="en-US" w:eastAsia="zh-CN" w:bidi="ar-SA"/>
        </w:rPr>
      </w:pPr>
      <w:r>
        <w:rPr>
          <w:rFonts w:hint="eastAsia" w:ascii="宋体" w:hAnsi="宋体" w:eastAsia="宋体" w:cs="宋体"/>
          <w:b w:val="0"/>
          <w:bCs/>
          <w:color w:val="000000"/>
          <w:spacing w:val="0"/>
          <w:sz w:val="24"/>
          <w:szCs w:val="24"/>
          <w:highlight w:val="none"/>
          <w:lang w:val="en-US" w:eastAsia="zh-CN" w:bidi="ar-SA"/>
        </w:rPr>
        <w:t>注：维修费用由成交人负责。</w:t>
      </w:r>
    </w:p>
    <w:p w14:paraId="35ADAB27">
      <w:pPr>
        <w:keepNext w:val="0"/>
        <w:keepLines w:val="0"/>
        <w:pageBreakBefore w:val="0"/>
        <w:widowControl w:val="0"/>
        <w:spacing w:before="0" w:after="0" w:line="440" w:lineRule="exact"/>
        <w:ind w:left="0" w:right="0" w:firstLine="480"/>
        <w:jc w:val="left"/>
        <w:rPr>
          <w:rFonts w:hint="eastAsia" w:ascii="宋体" w:hAnsi="宋体" w:eastAsia="宋体" w:cs="宋体"/>
          <w:b w:val="0"/>
          <w:bCs/>
          <w:color w:val="000000"/>
          <w:spacing w:val="0"/>
          <w:sz w:val="24"/>
          <w:szCs w:val="24"/>
          <w:highlight w:val="none"/>
          <w:lang w:val="en-US" w:eastAsia="en-US" w:bidi="ar-SA"/>
        </w:rPr>
      </w:pPr>
      <w:r>
        <w:rPr>
          <w:rFonts w:hint="eastAsia" w:ascii="宋体" w:hAnsi="宋体" w:eastAsia="宋体" w:cs="宋体"/>
          <w:b w:val="0"/>
          <w:bCs/>
          <w:color w:val="000000"/>
          <w:spacing w:val="0"/>
          <w:sz w:val="24"/>
          <w:szCs w:val="24"/>
          <w:highlight w:val="none"/>
          <w:lang w:val="en-US" w:eastAsia="en-US" w:bidi="ar-SA"/>
        </w:rPr>
        <w:t>（四）合同履行期限：一年</w:t>
      </w:r>
    </w:p>
    <w:p w14:paraId="298FD194">
      <w:pPr>
        <w:keepNext w:val="0"/>
        <w:keepLines w:val="0"/>
        <w:pageBreakBefore w:val="0"/>
        <w:widowControl w:val="0"/>
        <w:spacing w:before="0" w:after="0" w:line="440" w:lineRule="exact"/>
        <w:ind w:left="0" w:right="0" w:firstLine="480"/>
        <w:jc w:val="left"/>
        <w:rPr>
          <w:rFonts w:hint="eastAsia" w:ascii="宋体" w:hAnsi="宋体" w:eastAsia="宋体" w:cs="宋体"/>
          <w:b w:val="0"/>
          <w:bCs/>
          <w:color w:val="000000"/>
          <w:spacing w:val="0"/>
          <w:sz w:val="24"/>
          <w:szCs w:val="24"/>
          <w:highlight w:val="none"/>
          <w:lang w:val="en-US" w:eastAsia="en-US" w:bidi="ar-SA"/>
        </w:rPr>
      </w:pPr>
      <w:r>
        <w:rPr>
          <w:rFonts w:hint="eastAsia" w:ascii="宋体" w:hAnsi="宋体" w:eastAsia="宋体" w:cs="宋体"/>
          <w:b w:val="0"/>
          <w:bCs/>
          <w:color w:val="000000"/>
          <w:spacing w:val="0"/>
          <w:sz w:val="24"/>
          <w:szCs w:val="24"/>
          <w:highlight w:val="none"/>
          <w:lang w:val="en-US" w:eastAsia="en-US" w:bidi="ar-SA"/>
        </w:rPr>
        <w:t xml:space="preserve">（五）付款方式： </w:t>
      </w:r>
    </w:p>
    <w:p w14:paraId="1D8B5D5A">
      <w:pPr>
        <w:keepNext w:val="0"/>
        <w:keepLines w:val="0"/>
        <w:pageBreakBefore w:val="0"/>
        <w:widowControl w:val="0"/>
        <w:spacing w:before="0" w:after="0" w:line="440" w:lineRule="exact"/>
        <w:ind w:left="0" w:right="0" w:firstLine="480"/>
        <w:jc w:val="left"/>
        <w:rPr>
          <w:rFonts w:hint="eastAsia" w:ascii="宋体" w:hAnsi="宋体" w:eastAsia="宋体" w:cs="宋体"/>
          <w:b w:val="0"/>
          <w:bCs/>
          <w:color w:val="000000"/>
          <w:sz w:val="24"/>
          <w:szCs w:val="24"/>
          <w:highlight w:val="none"/>
          <w:lang w:val="en-US" w:eastAsia="zh-CN" w:bidi="ar-SA"/>
        </w:rPr>
      </w:pPr>
      <w:r>
        <w:rPr>
          <w:rFonts w:hint="eastAsia" w:ascii="宋体" w:hAnsi="宋体" w:eastAsia="宋体" w:cs="宋体"/>
          <w:b w:val="0"/>
          <w:bCs/>
          <w:color w:val="000000"/>
          <w:sz w:val="24"/>
          <w:szCs w:val="24"/>
          <w:highlight w:val="none"/>
          <w:lang w:val="en-US" w:eastAsia="zh-CN" w:bidi="ar-SA"/>
        </w:rPr>
        <w:t>预付款：合同金额的10%，合同签订后按规定支付；</w:t>
      </w:r>
    </w:p>
    <w:p w14:paraId="28C83A4F">
      <w:pPr>
        <w:keepNext w:val="0"/>
        <w:keepLines w:val="0"/>
        <w:pageBreakBefore w:val="0"/>
        <w:widowControl w:val="0"/>
        <w:spacing w:before="0" w:after="0" w:line="440" w:lineRule="exact"/>
        <w:ind w:left="0" w:right="0" w:firstLine="480"/>
        <w:jc w:val="left"/>
        <w:rPr>
          <w:rFonts w:hint="eastAsia" w:ascii="宋体" w:hAnsi="宋体" w:eastAsia="宋体" w:cs="宋体"/>
          <w:b w:val="0"/>
          <w:bCs/>
          <w:color w:val="000000"/>
          <w:spacing w:val="0"/>
          <w:sz w:val="24"/>
          <w:szCs w:val="24"/>
          <w:highlight w:val="none"/>
          <w:lang w:val="en-US" w:eastAsia="en-US" w:bidi="ar-SA"/>
        </w:rPr>
      </w:pPr>
      <w:r>
        <w:rPr>
          <w:rFonts w:hint="eastAsia" w:ascii="宋体" w:hAnsi="宋体" w:eastAsia="宋体" w:cs="宋体"/>
          <w:b w:val="0"/>
          <w:bCs/>
          <w:color w:val="000000"/>
          <w:spacing w:val="0"/>
          <w:sz w:val="24"/>
          <w:szCs w:val="24"/>
          <w:highlight w:val="none"/>
          <w:lang w:val="en-US" w:eastAsia="zh-CN" w:bidi="ar-SA"/>
        </w:rPr>
        <w:t>进度款：</w:t>
      </w:r>
      <w:r>
        <w:rPr>
          <w:rFonts w:hint="eastAsia" w:ascii="宋体" w:hAnsi="宋体" w:eastAsia="宋体" w:cs="宋体"/>
          <w:b w:val="0"/>
          <w:bCs/>
          <w:color w:val="000000"/>
          <w:spacing w:val="0"/>
          <w:sz w:val="24"/>
          <w:szCs w:val="24"/>
          <w:highlight w:val="none"/>
          <w:lang w:val="en-US" w:eastAsia="en-US" w:bidi="ar-SA"/>
        </w:rPr>
        <w:t>采购单位按每月支付，在确认工作完成的情况下，根据考核结果，中标</w:t>
      </w:r>
      <w:r>
        <w:rPr>
          <w:rFonts w:hint="eastAsia" w:ascii="宋体" w:hAnsi="宋体" w:eastAsia="宋体" w:cs="宋体"/>
          <w:b w:val="0"/>
          <w:bCs/>
          <w:color w:val="000000"/>
          <w:spacing w:val="0"/>
          <w:sz w:val="24"/>
          <w:szCs w:val="24"/>
          <w:highlight w:val="none"/>
          <w:lang w:val="en-US" w:eastAsia="zh-CN" w:bidi="ar-SA"/>
        </w:rPr>
        <w:t>供应商</w:t>
      </w:r>
      <w:r>
        <w:rPr>
          <w:rFonts w:hint="eastAsia" w:ascii="宋体" w:hAnsi="宋体" w:eastAsia="宋体" w:cs="宋体"/>
          <w:b w:val="0"/>
          <w:bCs/>
          <w:color w:val="000000"/>
          <w:spacing w:val="0"/>
          <w:sz w:val="24"/>
          <w:szCs w:val="24"/>
          <w:highlight w:val="none"/>
          <w:lang w:val="en-US" w:eastAsia="en-US" w:bidi="ar-SA"/>
        </w:rPr>
        <w:t>次月5日前开具正式票据递交采购单位（如遇假期顺延）。</w:t>
      </w:r>
    </w:p>
    <w:p w14:paraId="62FAEF56">
      <w:pPr>
        <w:spacing w:line="400" w:lineRule="exact"/>
        <w:ind w:firstLine="480"/>
        <w:jc w:val="both"/>
        <w:outlineLvl w:val="9"/>
        <w:rPr>
          <w:rFonts w:hint="eastAsia" w:ascii="宋体" w:hAnsi="宋体" w:eastAsia="宋体" w:cs="宋体"/>
          <w:b w:val="0"/>
          <w:bCs/>
          <w:color w:val="000000"/>
          <w:sz w:val="24"/>
          <w:highlight w:val="none"/>
          <w:lang w:val="zh-CN" w:eastAsia="zh-CN"/>
        </w:rPr>
      </w:pPr>
      <w:r>
        <w:rPr>
          <w:rFonts w:hint="eastAsia" w:ascii="宋体" w:hAnsi="宋体" w:eastAsia="宋体" w:cs="宋体"/>
          <w:b w:val="0"/>
          <w:bCs/>
          <w:color w:val="000000"/>
          <w:sz w:val="24"/>
          <w:highlight w:val="none"/>
          <w:lang w:val="zh-CN" w:eastAsia="zh-CN"/>
        </w:rPr>
        <w:t>资金支付的</w:t>
      </w:r>
      <w:r>
        <w:rPr>
          <w:rFonts w:hint="eastAsia" w:ascii="宋体" w:hAnsi="宋体" w:eastAsia="宋体" w:cs="宋体"/>
          <w:b w:val="0"/>
          <w:bCs/>
          <w:color w:val="000000"/>
          <w:sz w:val="24"/>
          <w:highlight w:val="none"/>
          <w:lang w:eastAsia="zh-CN"/>
        </w:rPr>
        <w:t>时间</w:t>
      </w:r>
      <w:r>
        <w:rPr>
          <w:rFonts w:hint="eastAsia" w:ascii="宋体" w:hAnsi="宋体" w:eastAsia="宋体" w:cs="宋体"/>
          <w:b w:val="0"/>
          <w:bCs/>
          <w:color w:val="000000"/>
          <w:sz w:val="24"/>
          <w:highlight w:val="none"/>
          <w:lang w:val="zh-CN" w:eastAsia="zh-CN"/>
        </w:rPr>
        <w:t>：</w:t>
      </w:r>
      <w:r>
        <w:rPr>
          <w:rFonts w:hint="eastAsia" w:ascii="宋体" w:hAnsi="宋体" w:eastAsia="宋体" w:cs="宋体"/>
          <w:b w:val="0"/>
          <w:bCs/>
          <w:color w:val="000000"/>
          <w:sz w:val="24"/>
          <w:highlight w:val="none"/>
          <w:lang w:eastAsia="zh-CN"/>
        </w:rPr>
        <w:t>收到供应商发票10个工作日内</w:t>
      </w:r>
      <w:r>
        <w:rPr>
          <w:rFonts w:hint="eastAsia" w:ascii="宋体" w:hAnsi="宋体" w:eastAsia="宋体" w:cs="宋体"/>
          <w:b w:val="0"/>
          <w:bCs/>
          <w:color w:val="000000"/>
          <w:sz w:val="24"/>
          <w:highlight w:val="none"/>
          <w:lang w:val="zh-CN" w:eastAsia="zh-CN"/>
        </w:rPr>
        <w:t>。</w:t>
      </w:r>
    </w:p>
    <w:p w14:paraId="19DF0833">
      <w:pPr>
        <w:spacing w:line="400" w:lineRule="exact"/>
        <w:ind w:firstLine="480"/>
        <w:jc w:val="both"/>
        <w:outlineLvl w:val="9"/>
        <w:rPr>
          <w:rFonts w:hint="default"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资金支付方式：</w:t>
      </w:r>
      <w:r>
        <w:rPr>
          <w:rFonts w:hint="eastAsia" w:ascii="宋体" w:hAnsi="宋体" w:eastAsia="宋体" w:cs="宋体"/>
          <w:b w:val="0"/>
          <w:bCs/>
          <w:color w:val="000000"/>
          <w:sz w:val="24"/>
          <w:highlight w:val="none"/>
          <w:lang w:eastAsia="zh-CN"/>
        </w:rPr>
        <w:t>合同约定的供应商账户或供应商数字人民币账户。</w:t>
      </w:r>
    </w:p>
    <w:p w14:paraId="7F30B341">
      <w:pPr>
        <w:keepNext w:val="0"/>
        <w:keepLines w:val="0"/>
        <w:pageBreakBefore w:val="0"/>
        <w:widowControl w:val="0"/>
        <w:spacing w:before="0" w:after="0" w:line="440" w:lineRule="exact"/>
        <w:ind w:left="0" w:right="0" w:firstLine="480"/>
        <w:jc w:val="left"/>
        <w:rPr>
          <w:rFonts w:hint="eastAsia" w:ascii="宋体" w:hAnsi="宋体" w:eastAsia="宋体" w:cs="宋体"/>
          <w:b w:val="0"/>
          <w:bCs/>
          <w:color w:val="000000"/>
          <w:spacing w:val="0"/>
          <w:sz w:val="24"/>
          <w:szCs w:val="24"/>
          <w:highlight w:val="none"/>
          <w:lang w:val="en-US" w:eastAsia="en-US" w:bidi="ar-SA"/>
        </w:rPr>
      </w:pPr>
      <w:r>
        <w:rPr>
          <w:rFonts w:hint="eastAsia" w:ascii="宋体" w:hAnsi="宋体" w:eastAsia="宋体" w:cs="宋体"/>
          <w:b w:val="0"/>
          <w:bCs/>
          <w:color w:val="000000"/>
          <w:sz w:val="24"/>
          <w:szCs w:val="24"/>
          <w:highlight w:val="none"/>
          <w:lang w:val="en-US" w:eastAsia="zh-CN" w:bidi="ar-SA"/>
        </w:rPr>
        <w:t>注：在签订合同时，中标人明确表示无需预付款或者主动要求降低预付款比例的金额，采购人可不适用预付款规定。</w:t>
      </w:r>
    </w:p>
    <w:p w14:paraId="1D884FB9">
      <w:pPr>
        <w:keepNext w:val="0"/>
        <w:keepLines w:val="0"/>
        <w:pageBreakBefore w:val="0"/>
        <w:widowControl w:val="0"/>
        <w:spacing w:before="0" w:after="0" w:line="440" w:lineRule="exact"/>
        <w:ind w:left="0" w:right="0" w:firstLine="480"/>
        <w:jc w:val="left"/>
        <w:rPr>
          <w:rFonts w:hint="eastAsia" w:ascii="宋体" w:hAnsi="宋体" w:eastAsia="宋体" w:cs="宋体"/>
          <w:b w:val="0"/>
          <w:bCs/>
          <w:color w:val="000000"/>
          <w:spacing w:val="0"/>
          <w:sz w:val="24"/>
          <w:szCs w:val="24"/>
          <w:highlight w:val="none"/>
          <w:lang w:val="en-US" w:eastAsia="en-US" w:bidi="ar-SA"/>
        </w:rPr>
      </w:pPr>
      <w:r>
        <w:rPr>
          <w:rFonts w:hint="eastAsia" w:ascii="宋体" w:hAnsi="宋体" w:eastAsia="宋体" w:cs="宋体"/>
          <w:b w:val="0"/>
          <w:bCs/>
          <w:color w:val="000000"/>
          <w:spacing w:val="0"/>
          <w:sz w:val="24"/>
          <w:szCs w:val="24"/>
          <w:highlight w:val="none"/>
          <w:lang w:val="en-US" w:eastAsia="en-US" w:bidi="ar-SA"/>
        </w:rPr>
        <w:t>（六）服务质量：合格</w:t>
      </w:r>
    </w:p>
    <w:p w14:paraId="2F5EBB46">
      <w:pPr>
        <w:keepNext w:val="0"/>
        <w:keepLines w:val="0"/>
        <w:pageBreakBefore w:val="0"/>
        <w:widowControl w:val="0"/>
        <w:spacing w:before="0" w:after="0" w:line="440" w:lineRule="exact"/>
        <w:ind w:left="0" w:right="0" w:firstLine="480"/>
        <w:jc w:val="left"/>
        <w:rPr>
          <w:rFonts w:hint="eastAsia" w:ascii="宋体" w:hAnsi="宋体" w:eastAsia="宋体" w:cs="宋体"/>
          <w:b w:val="0"/>
          <w:bCs/>
          <w:color w:val="000000"/>
          <w:spacing w:val="0"/>
          <w:sz w:val="24"/>
          <w:szCs w:val="24"/>
          <w:highlight w:val="none"/>
          <w:lang w:val="en-US" w:eastAsia="en-US" w:bidi="ar-SA"/>
        </w:rPr>
      </w:pPr>
      <w:r>
        <w:rPr>
          <w:rFonts w:hint="eastAsia" w:ascii="宋体" w:hAnsi="宋体" w:eastAsia="宋体" w:cs="宋体"/>
          <w:b w:val="0"/>
          <w:bCs/>
          <w:color w:val="000000"/>
          <w:spacing w:val="0"/>
          <w:sz w:val="24"/>
          <w:szCs w:val="24"/>
          <w:highlight w:val="none"/>
          <w:lang w:val="en-US" w:eastAsia="zh-CN" w:bidi="ar-SA"/>
        </w:rPr>
        <w:t>（七）</w:t>
      </w:r>
      <w:r>
        <w:rPr>
          <w:rFonts w:hint="eastAsia" w:ascii="宋体" w:hAnsi="宋体" w:eastAsia="宋体" w:cs="宋体"/>
          <w:b w:val="0"/>
          <w:bCs/>
          <w:color w:val="000000"/>
          <w:spacing w:val="0"/>
          <w:sz w:val="24"/>
          <w:szCs w:val="24"/>
          <w:highlight w:val="none"/>
          <w:lang w:val="en-US" w:eastAsia="en-US" w:bidi="ar-SA"/>
        </w:rPr>
        <w:t>验收标准：中标方提供的</w:t>
      </w:r>
      <w:r>
        <w:rPr>
          <w:rFonts w:hint="eastAsia" w:ascii="宋体" w:hAnsi="宋体" w:eastAsia="宋体" w:cs="宋体"/>
          <w:b w:val="0"/>
          <w:bCs/>
          <w:color w:val="000000"/>
          <w:spacing w:val="0"/>
          <w:sz w:val="24"/>
          <w:szCs w:val="24"/>
          <w:highlight w:val="none"/>
          <w:lang w:val="en-US" w:eastAsia="zh-CN" w:bidi="ar-SA"/>
        </w:rPr>
        <w:t>服务</w:t>
      </w:r>
      <w:r>
        <w:rPr>
          <w:rFonts w:hint="eastAsia" w:ascii="宋体" w:hAnsi="宋体" w:eastAsia="宋体" w:cs="宋体"/>
          <w:b w:val="0"/>
          <w:bCs/>
          <w:color w:val="000000"/>
          <w:spacing w:val="0"/>
          <w:sz w:val="24"/>
          <w:szCs w:val="24"/>
          <w:highlight w:val="none"/>
          <w:lang w:val="en-US" w:eastAsia="en-US" w:bidi="ar-SA"/>
        </w:rPr>
        <w:t>有国家标准的应符合国家标准。无国家标准的应符合行业标准、地方标准或者其他标准、规范，满足</w:t>
      </w:r>
      <w:r>
        <w:rPr>
          <w:rFonts w:hint="eastAsia" w:ascii="宋体" w:hAnsi="宋体" w:eastAsia="宋体" w:cs="宋体"/>
          <w:b w:val="0"/>
          <w:bCs/>
          <w:color w:val="000000"/>
          <w:spacing w:val="0"/>
          <w:sz w:val="24"/>
          <w:szCs w:val="24"/>
          <w:highlight w:val="none"/>
          <w:lang w:val="en-US" w:eastAsia="zh-CN" w:bidi="ar-SA"/>
        </w:rPr>
        <w:t>章集</w:t>
      </w:r>
      <w:r>
        <w:rPr>
          <w:rFonts w:hint="eastAsia" w:ascii="宋体" w:hAnsi="宋体" w:eastAsia="宋体" w:cs="宋体"/>
          <w:b w:val="0"/>
          <w:bCs/>
          <w:color w:val="000000"/>
          <w:spacing w:val="0"/>
          <w:sz w:val="24"/>
          <w:szCs w:val="24"/>
          <w:highlight w:val="none"/>
          <w:lang w:val="en-US" w:eastAsia="en-US" w:bidi="ar-SA"/>
        </w:rPr>
        <w:t>街道环卫保洁项目作业标准</w:t>
      </w:r>
      <w:r>
        <w:rPr>
          <w:rFonts w:hint="eastAsia" w:ascii="宋体" w:hAnsi="宋体" w:eastAsia="宋体" w:cs="宋体"/>
          <w:b w:val="0"/>
          <w:bCs/>
          <w:color w:val="000000"/>
          <w:spacing w:val="0"/>
          <w:sz w:val="24"/>
          <w:szCs w:val="24"/>
          <w:highlight w:val="none"/>
          <w:lang w:val="en-US" w:eastAsia="zh-CN" w:bidi="ar-SA"/>
        </w:rPr>
        <w:t>及采购</w:t>
      </w:r>
      <w:r>
        <w:rPr>
          <w:rFonts w:hint="eastAsia" w:ascii="宋体" w:hAnsi="宋体" w:eastAsia="宋体" w:cs="宋体"/>
          <w:b w:val="0"/>
          <w:bCs/>
          <w:color w:val="000000"/>
          <w:spacing w:val="0"/>
          <w:sz w:val="24"/>
          <w:szCs w:val="24"/>
          <w:highlight w:val="none"/>
          <w:lang w:val="en-US" w:eastAsia="en-US" w:bidi="ar-SA"/>
        </w:rPr>
        <w:t>文件要求。</w:t>
      </w:r>
    </w:p>
    <w:p w14:paraId="29AFC819">
      <w:pPr>
        <w:spacing w:line="400" w:lineRule="exact"/>
        <w:jc w:val="both"/>
        <w:outlineLvl w:val="9"/>
        <w:rPr>
          <w:rFonts w:hint="eastAsia" w:ascii="宋体" w:hAnsi="宋体" w:eastAsia="宋体" w:cs="宋体"/>
          <w:b/>
          <w:color w:val="000000"/>
          <w:sz w:val="24"/>
          <w:szCs w:val="24"/>
          <w:highlight w:val="none"/>
          <w:rtl w:val="0"/>
          <w:lang w:val="en-US" w:eastAsia="zh-CN"/>
        </w:rPr>
      </w:pPr>
      <w:bookmarkStart w:id="82" w:name="_Toc1505"/>
      <w:r>
        <w:rPr>
          <w:rFonts w:hint="eastAsia" w:ascii="宋体" w:hAnsi="宋体" w:eastAsia="宋体" w:cs="宋体"/>
          <w:b/>
          <w:color w:val="000000"/>
          <w:sz w:val="24"/>
          <w:szCs w:val="24"/>
          <w:highlight w:val="none"/>
          <w:rtl w:val="0"/>
          <w:lang w:val="en-US" w:eastAsia="zh-CN"/>
        </w:rPr>
        <w:t>二、服务清单</w:t>
      </w:r>
      <w:bookmarkEnd w:id="82"/>
    </w:p>
    <w:p w14:paraId="5A14CE26">
      <w:pPr>
        <w:widowControl w:val="0"/>
        <w:spacing w:before="0" w:after="0" w:line="240" w:lineRule="auto"/>
        <w:ind w:left="0" w:right="0"/>
        <w:jc w:val="left"/>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 xml:space="preserve">  </w:t>
      </w:r>
    </w:p>
    <w:tbl>
      <w:tblPr>
        <w:tblStyle w:val="42"/>
        <w:tblW w:w="8910" w:type="dxa"/>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805"/>
        <w:gridCol w:w="3300"/>
        <w:gridCol w:w="1905"/>
      </w:tblGrid>
      <w:tr w14:paraId="29B53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noWrap w:val="0"/>
            <w:vAlign w:val="center"/>
          </w:tcPr>
          <w:p w14:paraId="41BF5ABE">
            <w:pPr>
              <w:widowControl w:val="0"/>
              <w:spacing w:before="0" w:after="0" w:line="240" w:lineRule="auto"/>
              <w:ind w:left="0" w:right="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序号</w:t>
            </w:r>
          </w:p>
        </w:tc>
        <w:tc>
          <w:tcPr>
            <w:tcW w:w="2805" w:type="dxa"/>
            <w:noWrap w:val="0"/>
            <w:vAlign w:val="center"/>
          </w:tcPr>
          <w:p w14:paraId="14A7EB76">
            <w:pPr>
              <w:widowControl w:val="0"/>
              <w:spacing w:before="0" w:after="0" w:line="240" w:lineRule="auto"/>
              <w:ind w:left="0" w:right="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服务项目</w:t>
            </w:r>
          </w:p>
        </w:tc>
        <w:tc>
          <w:tcPr>
            <w:tcW w:w="3300" w:type="dxa"/>
            <w:noWrap w:val="0"/>
            <w:vAlign w:val="center"/>
          </w:tcPr>
          <w:p w14:paraId="69B01081">
            <w:pPr>
              <w:widowControl w:val="0"/>
              <w:spacing w:before="0" w:after="0" w:line="240" w:lineRule="auto"/>
              <w:ind w:left="0" w:right="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服务内容</w:t>
            </w:r>
          </w:p>
        </w:tc>
        <w:tc>
          <w:tcPr>
            <w:tcW w:w="1905" w:type="dxa"/>
            <w:noWrap w:val="0"/>
            <w:vAlign w:val="center"/>
          </w:tcPr>
          <w:p w14:paraId="4AEB2329">
            <w:pPr>
              <w:widowControl w:val="0"/>
              <w:spacing w:before="0" w:after="0" w:line="240" w:lineRule="auto"/>
              <w:ind w:left="0" w:right="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服务期限</w:t>
            </w:r>
          </w:p>
        </w:tc>
      </w:tr>
      <w:tr w14:paraId="0ACC5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900" w:type="dxa"/>
            <w:noWrap w:val="0"/>
            <w:vAlign w:val="center"/>
          </w:tcPr>
          <w:p w14:paraId="080A63F3">
            <w:pPr>
              <w:widowControl w:val="0"/>
              <w:spacing w:before="0" w:after="0" w:line="240" w:lineRule="auto"/>
              <w:ind w:left="0" w:right="0"/>
              <w:jc w:val="center"/>
              <w:rPr>
                <w:rFonts w:hint="eastAsia" w:ascii="宋体" w:hAnsi="宋体" w:eastAsia="宋体" w:cs="宋体"/>
                <w:sz w:val="22"/>
                <w:szCs w:val="22"/>
                <w:highlight w:val="none"/>
                <w:vertAlign w:val="baseline"/>
                <w:lang w:val="en-US" w:eastAsia="zh-CN" w:bidi="ar-SA"/>
              </w:rPr>
            </w:pPr>
            <w:r>
              <w:rPr>
                <w:rFonts w:hint="eastAsia" w:ascii="宋体" w:hAnsi="宋体" w:eastAsia="宋体" w:cs="宋体"/>
                <w:sz w:val="22"/>
                <w:szCs w:val="22"/>
                <w:highlight w:val="none"/>
                <w:vertAlign w:val="baseline"/>
                <w:lang w:val="en-US" w:eastAsia="zh-CN" w:bidi="ar-SA"/>
              </w:rPr>
              <w:t>1</w:t>
            </w:r>
          </w:p>
        </w:tc>
        <w:tc>
          <w:tcPr>
            <w:tcW w:w="2805" w:type="dxa"/>
            <w:noWrap w:val="0"/>
            <w:vAlign w:val="center"/>
          </w:tcPr>
          <w:p w14:paraId="0D869B33">
            <w:pPr>
              <w:widowControl w:val="0"/>
              <w:spacing w:before="0" w:after="0" w:line="240" w:lineRule="auto"/>
              <w:ind w:left="0" w:right="0"/>
              <w:jc w:val="center"/>
              <w:rPr>
                <w:rFonts w:hint="eastAsia" w:ascii="宋体" w:hAnsi="宋体" w:eastAsia="宋体" w:cs="宋体"/>
                <w:sz w:val="24"/>
                <w:szCs w:val="24"/>
                <w:highlight w:val="none"/>
                <w:lang w:val="en-US" w:eastAsia="zh-CN" w:bidi="ar-SA"/>
              </w:rPr>
            </w:pPr>
            <w:r>
              <w:rPr>
                <w:rFonts w:hint="eastAsia" w:ascii="Times New Roman" w:hAnsi="Times New Roman" w:eastAsia="宋体" w:cs="宋体"/>
                <w:sz w:val="24"/>
                <w:szCs w:val="24"/>
                <w:highlight w:val="none"/>
                <w:lang w:val="en-US" w:eastAsia="zh-CN" w:bidi="ar-SA"/>
              </w:rPr>
              <w:t>沭阳县人民政府章集街道年度保洁外包服务项目</w:t>
            </w:r>
          </w:p>
        </w:tc>
        <w:tc>
          <w:tcPr>
            <w:tcW w:w="3300" w:type="dxa"/>
            <w:noWrap w:val="0"/>
            <w:vAlign w:val="center"/>
          </w:tcPr>
          <w:p w14:paraId="22FAD10C">
            <w:pPr>
              <w:keepNext w:val="0"/>
              <w:keepLines w:val="0"/>
              <w:pageBreakBefore w:val="0"/>
              <w:widowControl w:val="0"/>
              <w:spacing w:before="0" w:after="0" w:line="440" w:lineRule="exact"/>
              <w:ind w:left="0" w:right="0" w:firstLine="480"/>
              <w:jc w:val="left"/>
              <w:rPr>
                <w:rFonts w:hint="default" w:ascii="宋体" w:hAnsi="宋体" w:eastAsia="宋体" w:cs="宋体"/>
                <w:b w:val="0"/>
                <w:bCs/>
                <w:color w:val="000000"/>
                <w:spacing w:val="0"/>
                <w:sz w:val="24"/>
                <w:szCs w:val="24"/>
                <w:highlight w:val="none"/>
                <w:lang w:val="en-US" w:eastAsia="zh-CN" w:bidi="ar-SA"/>
              </w:rPr>
            </w:pPr>
            <w:r>
              <w:rPr>
                <w:rFonts w:hint="eastAsia" w:ascii="宋体" w:hAnsi="宋体" w:eastAsia="宋体" w:cs="宋体"/>
                <w:b w:val="0"/>
                <w:bCs/>
                <w:color w:val="000000"/>
                <w:spacing w:val="0"/>
                <w:sz w:val="24"/>
                <w:szCs w:val="24"/>
                <w:highlight w:val="none"/>
                <w:lang w:val="en-US" w:eastAsia="zh-CN" w:bidi="ar-SA"/>
              </w:rPr>
              <w:t>沭阳县人民政府章集街道辖区内村道、乡道、省道、国道(含两侧可视范围)，小区、公厕、工业园区公共卫生服务外包以及维修。注：维修费用由成交人负责。</w:t>
            </w:r>
          </w:p>
          <w:p w14:paraId="59AAEB62">
            <w:pPr>
              <w:widowControl w:val="0"/>
              <w:spacing w:before="0" w:after="0" w:line="240" w:lineRule="auto"/>
              <w:ind w:left="0" w:right="0" w:firstLine="480"/>
              <w:jc w:val="center"/>
              <w:rPr>
                <w:rFonts w:hint="eastAsia" w:ascii="宋体" w:hAnsi="宋体" w:eastAsia="宋体" w:cs="宋体"/>
                <w:sz w:val="24"/>
                <w:szCs w:val="24"/>
                <w:highlight w:val="none"/>
                <w:lang w:val="en-US" w:eastAsia="zh-CN" w:bidi="ar-SA"/>
              </w:rPr>
            </w:pPr>
          </w:p>
        </w:tc>
        <w:tc>
          <w:tcPr>
            <w:tcW w:w="1905" w:type="dxa"/>
            <w:noWrap w:val="0"/>
            <w:vAlign w:val="center"/>
          </w:tcPr>
          <w:p w14:paraId="77A2C94E">
            <w:pPr>
              <w:widowControl w:val="0"/>
              <w:spacing w:before="0" w:after="0" w:line="240" w:lineRule="auto"/>
              <w:ind w:left="0" w:right="0"/>
              <w:jc w:val="center"/>
              <w:rPr>
                <w:rFonts w:hint="eastAsia" w:ascii="宋体" w:hAnsi="宋体" w:eastAsia="宋体" w:cs="宋体"/>
                <w:sz w:val="22"/>
                <w:szCs w:val="22"/>
                <w:highlight w:val="none"/>
                <w:vertAlign w:val="baseline"/>
                <w:lang w:val="en-US" w:eastAsia="zh-CN" w:bidi="ar-SA"/>
              </w:rPr>
            </w:pPr>
            <w:r>
              <w:rPr>
                <w:rFonts w:hint="eastAsia" w:ascii="宋体" w:hAnsi="宋体" w:eastAsia="宋体" w:cs="宋体"/>
                <w:sz w:val="22"/>
                <w:szCs w:val="22"/>
                <w:highlight w:val="none"/>
                <w:vertAlign w:val="baseline"/>
                <w:lang w:val="en-US" w:eastAsia="zh-CN" w:bidi="ar-SA"/>
              </w:rPr>
              <w:t>12个月</w:t>
            </w:r>
          </w:p>
        </w:tc>
      </w:tr>
    </w:tbl>
    <w:p w14:paraId="5DE9AAFA">
      <w:pPr>
        <w:widowControl w:val="0"/>
        <w:spacing w:before="0" w:after="0" w:line="240" w:lineRule="auto"/>
        <w:ind w:left="0" w:right="0"/>
        <w:jc w:val="left"/>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 xml:space="preserve">    </w:t>
      </w:r>
    </w:p>
    <w:p w14:paraId="0A42232E">
      <w:pPr>
        <w:spacing w:line="400" w:lineRule="exact"/>
        <w:jc w:val="both"/>
        <w:outlineLvl w:val="9"/>
        <w:rPr>
          <w:rFonts w:hint="eastAsia" w:ascii="宋体" w:hAnsi="宋体" w:eastAsia="宋体" w:cs="宋体"/>
          <w:b/>
          <w:color w:val="000000"/>
          <w:sz w:val="24"/>
          <w:szCs w:val="24"/>
          <w:highlight w:val="none"/>
          <w:rtl w:val="0"/>
          <w:lang w:val="en-US" w:eastAsia="zh-CN"/>
        </w:rPr>
      </w:pPr>
      <w:bookmarkStart w:id="83" w:name="_Toc4924"/>
      <w:bookmarkStart w:id="84" w:name="_Toc13368"/>
      <w:r>
        <w:rPr>
          <w:rFonts w:hint="eastAsia" w:ascii="宋体" w:hAnsi="宋体" w:eastAsia="宋体" w:cs="宋体"/>
          <w:b/>
          <w:color w:val="000000"/>
          <w:sz w:val="24"/>
          <w:szCs w:val="24"/>
          <w:highlight w:val="none"/>
          <w:rtl w:val="0"/>
          <w:lang w:val="en-US" w:eastAsia="zh-CN"/>
        </w:rPr>
        <w:t>三、保洁范围</w:t>
      </w:r>
      <w:bookmarkEnd w:id="83"/>
      <w:r>
        <w:rPr>
          <w:rFonts w:hint="eastAsia" w:ascii="宋体" w:hAnsi="宋体" w:eastAsia="宋体" w:cs="宋体"/>
          <w:b/>
          <w:color w:val="000000"/>
          <w:sz w:val="24"/>
          <w:szCs w:val="24"/>
          <w:highlight w:val="none"/>
          <w:rtl w:val="0"/>
          <w:lang w:val="en-US" w:eastAsia="zh-CN"/>
        </w:rPr>
        <w:t>及人员配备</w:t>
      </w:r>
      <w:bookmarkEnd w:id="84"/>
    </w:p>
    <w:p w14:paraId="00C8E989">
      <w:pPr>
        <w:keepNext w:val="0"/>
        <w:keepLines w:val="0"/>
        <w:pageBreakBefore w:val="0"/>
        <w:widowControl w:val="0"/>
        <w:spacing w:before="0" w:after="0" w:line="440" w:lineRule="exact"/>
        <w:ind w:left="0" w:right="0" w:firstLine="482"/>
        <w:jc w:val="left"/>
        <w:rPr>
          <w:rFonts w:hint="eastAsia" w:ascii="宋体" w:hAnsi="宋体" w:eastAsia="宋体" w:cs="宋体"/>
          <w:b/>
          <w:spacing w:val="0"/>
          <w:sz w:val="24"/>
          <w:szCs w:val="22"/>
          <w:highlight w:val="none"/>
          <w:lang w:val="en-US" w:eastAsia="zh-CN" w:bidi="ar-SA"/>
        </w:rPr>
      </w:pPr>
      <w:r>
        <w:rPr>
          <w:rFonts w:hint="eastAsia" w:ascii="宋体" w:hAnsi="宋体" w:eastAsia="宋体" w:cs="宋体"/>
          <w:b/>
          <w:spacing w:val="0"/>
          <w:sz w:val="24"/>
          <w:szCs w:val="22"/>
          <w:highlight w:val="none"/>
          <w:lang w:val="en-US" w:eastAsia="zh-CN" w:bidi="ar-SA"/>
        </w:rPr>
        <w:t>1、保洁范围</w:t>
      </w:r>
      <w:r>
        <w:rPr>
          <w:rFonts w:hint="eastAsia" w:ascii="Times New Roman" w:hAnsi="Times New Roman" w:eastAsia="宋体" w:cs="宋体"/>
          <w:b/>
          <w:spacing w:val="0"/>
          <w:sz w:val="24"/>
          <w:szCs w:val="22"/>
          <w:highlight w:val="none"/>
          <w:lang w:val="en-US" w:eastAsia="zh-CN" w:bidi="ar-SA"/>
        </w:rPr>
        <w:t>：</w:t>
      </w:r>
      <w:r>
        <w:rPr>
          <w:rFonts w:hint="eastAsia" w:ascii="宋体" w:hAnsi="宋体" w:eastAsia="宋体" w:cs="宋体"/>
          <w:b w:val="0"/>
          <w:bCs/>
          <w:color w:val="000000"/>
          <w:spacing w:val="0"/>
          <w:sz w:val="24"/>
          <w:szCs w:val="24"/>
          <w:highlight w:val="none"/>
          <w:lang w:val="en-US" w:eastAsia="zh-CN" w:bidi="ar-SA"/>
        </w:rPr>
        <w:t>章集辖区内乡道、省道、国道，小区、公厕、工业园区公共卫生服务外包以及维修。</w:t>
      </w:r>
    </w:p>
    <w:p w14:paraId="3D12979B">
      <w:pPr>
        <w:keepNext w:val="0"/>
        <w:keepLines w:val="0"/>
        <w:pageBreakBefore w:val="0"/>
        <w:widowControl w:val="0"/>
        <w:spacing w:before="0" w:after="0" w:line="240" w:lineRule="auto"/>
        <w:ind w:left="0" w:right="0" w:firstLine="120"/>
        <w:jc w:val="left"/>
        <w:rPr>
          <w:rFonts w:hint="eastAsia" w:ascii="宋体" w:hAnsi="宋体" w:eastAsia="宋体" w:cs="宋体"/>
          <w:b/>
          <w:spacing w:val="0"/>
          <w:sz w:val="6"/>
          <w:szCs w:val="24"/>
          <w:highlight w:val="none"/>
          <w:lang w:val="en-US" w:eastAsia="en-US" w:bidi="ar-SA"/>
        </w:rPr>
      </w:pPr>
    </w:p>
    <w:p w14:paraId="0DBEF492">
      <w:pPr>
        <w:keepNext w:val="0"/>
        <w:keepLines w:val="0"/>
        <w:pageBreakBefore w:val="0"/>
        <w:widowControl w:val="0"/>
        <w:spacing w:before="0" w:after="0" w:line="440" w:lineRule="exact"/>
        <w:ind w:left="0" w:right="0" w:firstLine="482"/>
        <w:jc w:val="left"/>
        <w:rPr>
          <w:rFonts w:hint="eastAsia" w:ascii="宋体" w:hAnsi="宋体" w:eastAsia="宋体" w:cs="宋体"/>
          <w:b/>
          <w:spacing w:val="0"/>
          <w:sz w:val="24"/>
          <w:szCs w:val="22"/>
          <w:highlight w:val="none"/>
          <w:lang w:val="en-US" w:eastAsia="en-US" w:bidi="ar-SA"/>
        </w:rPr>
      </w:pPr>
      <w:bookmarkStart w:id="85" w:name="_Toc29705"/>
      <w:bookmarkStart w:id="86" w:name="_Toc11878"/>
      <w:r>
        <w:rPr>
          <w:rFonts w:hint="eastAsia" w:ascii="宋体" w:hAnsi="宋体" w:eastAsia="宋体" w:cs="宋体"/>
          <w:b/>
          <w:spacing w:val="0"/>
          <w:sz w:val="24"/>
          <w:szCs w:val="22"/>
          <w:highlight w:val="none"/>
          <w:lang w:val="en-US" w:eastAsia="zh-CN" w:bidi="ar-SA"/>
        </w:rPr>
        <w:t>2、人员配置要求：</w:t>
      </w:r>
      <w:bookmarkEnd w:id="85"/>
    </w:p>
    <w:tbl>
      <w:tblPr>
        <w:tblStyle w:val="41"/>
        <w:tblW w:w="8627" w:type="dxa"/>
        <w:tblInd w:w="-3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8" w:type="dxa"/>
          <w:bottom w:w="0" w:type="dxa"/>
          <w:right w:w="108" w:type="dxa"/>
        </w:tblCellMar>
      </w:tblPr>
      <w:tblGrid>
        <w:gridCol w:w="1102"/>
        <w:gridCol w:w="2280"/>
        <w:gridCol w:w="3253"/>
        <w:gridCol w:w="1992"/>
      </w:tblGrid>
      <w:tr w14:paraId="4F6659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97" w:hRule="atLeast"/>
        </w:trPr>
        <w:tc>
          <w:tcPr>
            <w:tcW w:w="11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181B45">
            <w:pPr>
              <w:keepNext w:val="0"/>
              <w:keepLines w:val="0"/>
              <w:widowControl/>
              <w:suppressLineNumbers w:val="0"/>
              <w:ind w:firstLine="211"/>
              <w:jc w:val="left"/>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bCs/>
                <w:color w:val="000000"/>
                <w:sz w:val="21"/>
                <w:szCs w:val="21"/>
                <w:highlight w:val="none"/>
                <w:u w:val="none"/>
                <w:lang w:val="en-US" w:eastAsia="zh-CN" w:bidi="ar-SA"/>
              </w:rPr>
              <w:t>序号</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BA90ED">
            <w:pPr>
              <w:keepNext w:val="0"/>
              <w:keepLines w:val="0"/>
              <w:widowControl/>
              <w:suppressLineNumbers w:val="0"/>
              <w:jc w:val="center"/>
              <w:rPr>
                <w:rFonts w:hint="eastAsia" w:ascii="宋体" w:hAnsi="宋体" w:eastAsia="宋体" w:cs="宋体"/>
                <w:b/>
                <w:bCs/>
                <w:i w:val="0"/>
                <w:iCs w:val="0"/>
                <w:color w:val="000000"/>
                <w:sz w:val="21"/>
                <w:szCs w:val="21"/>
                <w:highlight w:val="none"/>
                <w:u w:val="none"/>
                <w:lang w:val="en-US" w:eastAsia="zh-CN" w:bidi="ar-SA"/>
              </w:rPr>
            </w:pPr>
            <w:r>
              <w:rPr>
                <w:rFonts w:hint="eastAsia" w:ascii="宋体" w:hAnsi="宋体" w:eastAsia="宋体" w:cs="宋体"/>
                <w:b/>
                <w:bCs/>
                <w:i w:val="0"/>
                <w:iCs w:val="0"/>
                <w:color w:val="000000"/>
                <w:sz w:val="21"/>
                <w:szCs w:val="21"/>
                <w:highlight w:val="none"/>
                <w:u w:val="none"/>
                <w:lang w:val="en-US" w:eastAsia="zh-CN" w:bidi="ar-SA"/>
              </w:rPr>
              <w:t>岗位</w:t>
            </w:r>
          </w:p>
        </w:tc>
        <w:tc>
          <w:tcPr>
            <w:tcW w:w="32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867B82">
            <w:pPr>
              <w:keepNext w:val="0"/>
              <w:keepLines w:val="0"/>
              <w:widowControl/>
              <w:suppressLineNumbers w:val="0"/>
              <w:jc w:val="center"/>
              <w:rPr>
                <w:rFonts w:hint="eastAsia" w:ascii="宋体" w:hAnsi="宋体" w:eastAsia="宋体" w:cs="宋体"/>
                <w:b/>
                <w:bCs/>
                <w:i w:val="0"/>
                <w:iCs w:val="0"/>
                <w:color w:val="000000"/>
                <w:sz w:val="21"/>
                <w:szCs w:val="21"/>
                <w:highlight w:val="none"/>
                <w:u w:val="none"/>
                <w:lang w:val="en-US" w:eastAsia="zh-CN" w:bidi="ar-SA"/>
              </w:rPr>
            </w:pPr>
            <w:r>
              <w:rPr>
                <w:rFonts w:hint="eastAsia" w:ascii="宋体" w:hAnsi="宋体" w:eastAsia="宋体" w:cs="宋体"/>
                <w:b/>
                <w:bCs/>
                <w:i w:val="0"/>
                <w:iCs w:val="0"/>
                <w:color w:val="000000"/>
                <w:sz w:val="21"/>
                <w:szCs w:val="21"/>
                <w:highlight w:val="none"/>
                <w:u w:val="none"/>
                <w:lang w:val="en-US" w:eastAsia="zh-CN" w:bidi="ar-SA"/>
              </w:rPr>
              <w:t>数量</w:t>
            </w:r>
          </w:p>
        </w:tc>
        <w:tc>
          <w:tcPr>
            <w:tcW w:w="19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1600A1">
            <w:pPr>
              <w:keepNext w:val="0"/>
              <w:keepLines w:val="0"/>
              <w:widowControl/>
              <w:suppressLineNumbers w:val="0"/>
              <w:jc w:val="center"/>
              <w:rPr>
                <w:rFonts w:hint="eastAsia" w:ascii="宋体" w:hAnsi="宋体" w:eastAsia="宋体" w:cs="宋体"/>
                <w:b/>
                <w:bCs/>
                <w:i w:val="0"/>
                <w:iCs w:val="0"/>
                <w:color w:val="000000"/>
                <w:sz w:val="21"/>
                <w:szCs w:val="21"/>
                <w:highlight w:val="none"/>
                <w:u w:val="none"/>
                <w:lang w:val="en-US" w:eastAsia="zh-CN" w:bidi="ar-SA"/>
              </w:rPr>
            </w:pPr>
            <w:r>
              <w:rPr>
                <w:rFonts w:hint="eastAsia" w:ascii="宋体" w:hAnsi="宋体" w:eastAsia="宋体" w:cs="宋体"/>
                <w:b/>
                <w:bCs/>
                <w:i w:val="0"/>
                <w:iCs w:val="0"/>
                <w:color w:val="000000"/>
                <w:sz w:val="21"/>
                <w:szCs w:val="21"/>
                <w:highlight w:val="none"/>
                <w:u w:val="none"/>
                <w:lang w:val="en-US" w:eastAsia="zh-CN" w:bidi="ar-SA"/>
              </w:rPr>
              <w:t>服务期限</w:t>
            </w:r>
          </w:p>
        </w:tc>
      </w:tr>
      <w:tr w14:paraId="71BE47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40" w:hRule="atLeast"/>
        </w:trPr>
        <w:tc>
          <w:tcPr>
            <w:tcW w:w="11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C72E03">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1</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BB0CB3">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项目经理</w:t>
            </w:r>
          </w:p>
        </w:tc>
        <w:tc>
          <w:tcPr>
            <w:tcW w:w="32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8443D6">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1人</w:t>
            </w:r>
          </w:p>
        </w:tc>
        <w:tc>
          <w:tcPr>
            <w:tcW w:w="199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5D88CC">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12个月</w:t>
            </w:r>
          </w:p>
        </w:tc>
      </w:tr>
      <w:tr w14:paraId="7474FF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40" w:hRule="atLeast"/>
        </w:trPr>
        <w:tc>
          <w:tcPr>
            <w:tcW w:w="11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37CD20">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2</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357EF3">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后勤管理人员</w:t>
            </w:r>
          </w:p>
        </w:tc>
        <w:tc>
          <w:tcPr>
            <w:tcW w:w="32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AA0CD4">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6人</w:t>
            </w:r>
          </w:p>
        </w:tc>
        <w:tc>
          <w:tcPr>
            <w:tcW w:w="1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0FE85B">
            <w:pPr>
              <w:widowControl w:val="0"/>
              <w:jc w:val="center"/>
              <w:rPr>
                <w:rFonts w:hint="eastAsia" w:ascii="宋体" w:hAnsi="宋体" w:eastAsia="宋体" w:cs="宋体"/>
                <w:b/>
                <w:i w:val="0"/>
                <w:iCs w:val="0"/>
                <w:color w:val="000000"/>
                <w:sz w:val="21"/>
                <w:szCs w:val="21"/>
                <w:highlight w:val="none"/>
                <w:u w:val="none"/>
                <w:lang w:val="en-US" w:eastAsia="zh-CN" w:bidi="ar-SA"/>
              </w:rPr>
            </w:pPr>
          </w:p>
        </w:tc>
      </w:tr>
      <w:tr w14:paraId="647DC74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40" w:hRule="atLeast"/>
        </w:trPr>
        <w:tc>
          <w:tcPr>
            <w:tcW w:w="11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74696B">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3</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727BC">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保洁及驾驶员</w:t>
            </w:r>
          </w:p>
        </w:tc>
        <w:tc>
          <w:tcPr>
            <w:tcW w:w="32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4A8C1D">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120人</w:t>
            </w:r>
          </w:p>
        </w:tc>
        <w:tc>
          <w:tcPr>
            <w:tcW w:w="1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142AA8">
            <w:pPr>
              <w:widowControl w:val="0"/>
              <w:jc w:val="center"/>
              <w:rPr>
                <w:rFonts w:hint="eastAsia" w:ascii="宋体" w:hAnsi="宋体" w:eastAsia="宋体" w:cs="宋体"/>
                <w:b/>
                <w:i w:val="0"/>
                <w:iCs w:val="0"/>
                <w:color w:val="000000"/>
                <w:sz w:val="21"/>
                <w:szCs w:val="21"/>
                <w:highlight w:val="none"/>
                <w:u w:val="none"/>
                <w:lang w:val="en-US" w:eastAsia="zh-CN" w:bidi="ar-SA"/>
              </w:rPr>
            </w:pPr>
          </w:p>
        </w:tc>
      </w:tr>
      <w:tr w14:paraId="74AEFB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68" w:hRule="atLeast"/>
        </w:trPr>
        <w:tc>
          <w:tcPr>
            <w:tcW w:w="11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DEDA5C">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5EDEAD">
            <w:pPr>
              <w:keepNext w:val="0"/>
              <w:keepLines w:val="0"/>
              <w:widowControl/>
              <w:suppressLineNumbers w:val="0"/>
              <w:jc w:val="center"/>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合计</w:t>
            </w:r>
          </w:p>
        </w:tc>
        <w:tc>
          <w:tcPr>
            <w:tcW w:w="524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DA86E3">
            <w:pPr>
              <w:keepNext w:val="0"/>
              <w:keepLines w:val="0"/>
              <w:widowControl/>
              <w:suppressLineNumbers w:val="0"/>
              <w:ind w:firstLine="1050"/>
              <w:jc w:val="both"/>
              <w:rPr>
                <w:rFonts w:hint="eastAsia" w:ascii="宋体" w:hAnsi="宋体" w:eastAsia="宋体" w:cs="宋体"/>
                <w:b/>
                <w:i w:val="0"/>
                <w:iCs w:val="0"/>
                <w:color w:val="000000"/>
                <w:sz w:val="21"/>
                <w:szCs w:val="21"/>
                <w:highlight w:val="none"/>
                <w:u w:val="none"/>
                <w:lang w:val="en-US" w:eastAsia="zh-CN" w:bidi="ar-SA"/>
              </w:rPr>
            </w:pPr>
            <w:r>
              <w:rPr>
                <w:rFonts w:hint="eastAsia" w:ascii="宋体" w:hAnsi="宋体" w:eastAsia="宋体" w:cs="宋体"/>
                <w:b/>
                <w:i w:val="0"/>
                <w:iCs w:val="0"/>
                <w:color w:val="000000"/>
                <w:sz w:val="21"/>
                <w:szCs w:val="21"/>
                <w:highlight w:val="none"/>
                <w:u w:val="none"/>
                <w:lang w:val="en-US" w:eastAsia="zh-CN" w:bidi="ar-SA"/>
              </w:rPr>
              <w:t>127人</w:t>
            </w:r>
          </w:p>
        </w:tc>
      </w:tr>
      <w:tr w14:paraId="6E5054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12" w:hRule="atLeast"/>
        </w:trPr>
        <w:tc>
          <w:tcPr>
            <w:tcW w:w="8627" w:type="dxa"/>
            <w:gridSpan w:val="4"/>
            <w:tcBorders>
              <w:top w:val="single" w:color="auto" w:sz="4" w:space="0"/>
            </w:tcBorders>
            <w:shd w:val="clear" w:color="auto" w:fill="FFFFFF"/>
            <w:noWrap w:val="0"/>
            <w:vAlign w:val="center"/>
          </w:tcPr>
          <w:p w14:paraId="00D746F9">
            <w:pPr>
              <w:keepNext w:val="0"/>
              <w:keepLines w:val="0"/>
              <w:pageBreakBefore w:val="0"/>
              <w:widowControl w:val="0"/>
              <w:numPr>
                <w:ilvl w:val="0"/>
                <w:numId w:val="0"/>
              </w:numPr>
              <w:spacing w:before="0" w:after="0" w:line="440" w:lineRule="exact"/>
              <w:ind w:left="0" w:right="0" w:firstLine="0"/>
              <w:jc w:val="left"/>
              <w:outlineLvl w:val="2"/>
              <w:rPr>
                <w:rFonts w:hint="eastAsia" w:ascii="宋体" w:hAnsi="宋体" w:eastAsia="宋体" w:cs="宋体"/>
                <w:b/>
                <w:bCs/>
                <w:i w:val="0"/>
                <w:iCs w:val="0"/>
                <w:color w:val="000000"/>
                <w:sz w:val="21"/>
                <w:szCs w:val="21"/>
                <w:highlight w:val="none"/>
                <w:u w:val="none"/>
                <w:lang w:val="en-US" w:eastAsia="zh-CN" w:bidi="ar-SA"/>
              </w:rPr>
            </w:pPr>
            <w:bookmarkStart w:id="87" w:name="_Toc12613"/>
            <w:r>
              <w:rPr>
                <w:rFonts w:hint="eastAsia" w:ascii="宋体" w:hAnsi="宋体" w:eastAsia="宋体" w:cs="宋体"/>
                <w:b/>
                <w:bCs/>
                <w:i w:val="0"/>
                <w:iCs w:val="0"/>
                <w:color w:val="000000"/>
                <w:sz w:val="21"/>
                <w:szCs w:val="21"/>
                <w:highlight w:val="none"/>
                <w:u w:val="none"/>
                <w:lang w:val="en-US" w:eastAsia="zh-CN" w:bidi="ar-SA"/>
              </w:rPr>
              <w:t>备注：</w:t>
            </w:r>
          </w:p>
          <w:p w14:paraId="6B19CD45">
            <w:pPr>
              <w:keepNext w:val="0"/>
              <w:keepLines w:val="0"/>
              <w:pageBreakBefore w:val="0"/>
              <w:widowControl w:val="0"/>
              <w:numPr>
                <w:ilvl w:val="0"/>
                <w:numId w:val="0"/>
              </w:numPr>
              <w:spacing w:before="0" w:after="0" w:line="440" w:lineRule="exact"/>
              <w:ind w:left="0" w:right="0" w:firstLine="0"/>
              <w:jc w:val="left"/>
              <w:outlineLvl w:val="2"/>
              <w:rPr>
                <w:rFonts w:hint="eastAsia" w:ascii="宋体" w:hAnsi="宋体" w:eastAsia="宋体" w:cs="宋体"/>
                <w:b/>
                <w:bCs/>
                <w:color w:val="000000"/>
                <w:spacing w:val="0"/>
                <w:sz w:val="21"/>
                <w:szCs w:val="21"/>
                <w:highlight w:val="none"/>
                <w:lang w:val="en-US" w:eastAsia="zh-CN" w:bidi="ar-SA"/>
              </w:rPr>
            </w:pPr>
            <w:r>
              <w:rPr>
                <w:rFonts w:hint="eastAsia" w:ascii="宋体" w:hAnsi="宋体" w:eastAsia="宋体" w:cs="宋体"/>
                <w:b/>
                <w:bCs/>
                <w:i w:val="0"/>
                <w:iCs w:val="0"/>
                <w:color w:val="000000"/>
                <w:sz w:val="21"/>
                <w:szCs w:val="21"/>
                <w:highlight w:val="none"/>
                <w:u w:val="none"/>
                <w:lang w:val="en-US" w:eastAsia="zh-CN" w:bidi="ar-SA"/>
              </w:rPr>
              <w:t>1、</w:t>
            </w:r>
            <w:r>
              <w:rPr>
                <w:rFonts w:hint="eastAsia" w:ascii="宋体" w:hAnsi="宋体" w:eastAsia="宋体" w:cs="宋体"/>
                <w:b/>
                <w:bCs/>
                <w:color w:val="000000"/>
                <w:spacing w:val="0"/>
                <w:sz w:val="21"/>
                <w:szCs w:val="21"/>
                <w:highlight w:val="none"/>
                <w:lang w:val="en-US" w:eastAsia="zh-CN" w:bidi="ar-SA"/>
              </w:rPr>
              <w:t>127人为本项目人员配置数量的最低要求，实施过程中按实际所需及采购人要求配备。</w:t>
            </w:r>
            <w:bookmarkEnd w:id="87"/>
          </w:p>
          <w:p w14:paraId="395467EB">
            <w:pPr>
              <w:widowControl w:val="0"/>
              <w:numPr>
                <w:ilvl w:val="0"/>
                <w:numId w:val="4"/>
              </w:numPr>
              <w:spacing w:before="0" w:after="0" w:line="240" w:lineRule="auto"/>
              <w:ind w:left="0" w:right="0"/>
              <w:jc w:val="left"/>
              <w:rPr>
                <w:rFonts w:hint="default" w:ascii="宋体" w:hAnsi="宋体" w:eastAsia="宋体" w:cs="宋体"/>
                <w:sz w:val="22"/>
                <w:szCs w:val="22"/>
                <w:lang w:val="en-US" w:eastAsia="zh-CN" w:bidi="ar-SA"/>
              </w:rPr>
            </w:pPr>
            <w:r>
              <w:rPr>
                <w:rFonts w:hint="eastAsia" w:ascii="Times New Roman" w:hAnsi="Times New Roman" w:eastAsia="宋体" w:cs="宋体"/>
                <w:b/>
                <w:bCs/>
                <w:color w:val="000000"/>
                <w:spacing w:val="0"/>
                <w:sz w:val="21"/>
                <w:szCs w:val="21"/>
                <w:highlight w:val="none"/>
                <w:lang w:val="en-US" w:eastAsia="zh-CN" w:bidi="ar-SA"/>
              </w:rPr>
              <w:t>目前章集街道拥有一定数量保洁人员，成交人对可以继续使用的予以续用，不符合条件的由成交人负责解聘。</w:t>
            </w:r>
          </w:p>
        </w:tc>
      </w:tr>
    </w:tbl>
    <w:p w14:paraId="3FA9BA55">
      <w:pPr>
        <w:spacing w:line="400" w:lineRule="exact"/>
        <w:jc w:val="both"/>
        <w:outlineLvl w:val="9"/>
        <w:rPr>
          <w:rFonts w:hint="eastAsia" w:ascii="宋体" w:hAnsi="宋体" w:eastAsia="宋体" w:cs="宋体"/>
          <w:b/>
          <w:color w:val="000000"/>
          <w:sz w:val="24"/>
          <w:szCs w:val="24"/>
          <w:highlight w:val="none"/>
          <w:rtl w:val="0"/>
          <w:lang w:val="en-US" w:eastAsia="zh-CN"/>
        </w:rPr>
      </w:pPr>
      <w:bookmarkStart w:id="88" w:name="_Toc11252"/>
      <w:r>
        <w:rPr>
          <w:rFonts w:hint="eastAsia" w:ascii="宋体" w:hAnsi="宋体" w:eastAsia="宋体" w:cs="宋体"/>
          <w:b/>
          <w:color w:val="000000"/>
          <w:sz w:val="24"/>
          <w:szCs w:val="24"/>
          <w:highlight w:val="none"/>
          <w:rtl w:val="0"/>
          <w:lang w:val="en-US" w:eastAsia="zh-CN"/>
        </w:rPr>
        <w:t>四、服务要求</w:t>
      </w:r>
      <w:bookmarkEnd w:id="86"/>
      <w:bookmarkEnd w:id="88"/>
    </w:p>
    <w:p w14:paraId="220D4399">
      <w:pPr>
        <w:keepNext w:val="0"/>
        <w:keepLines w:val="0"/>
        <w:pageBreakBefore w:val="0"/>
        <w:widowControl w:val="0"/>
        <w:numPr>
          <w:ilvl w:val="0"/>
          <w:numId w:val="0"/>
        </w:numPr>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投标人应当依据采购需求内容制定详细的服务实施方案，内容包括但不限于项目现状分析，管理规章制度，公共卫生服务实施方案，工具、设备及物耗情况，应急保障方案，安全、文明作业实施方案，进退场交接方案等。</w:t>
      </w:r>
    </w:p>
    <w:p w14:paraId="43CBC7F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（一）项目现状分析</w:t>
      </w:r>
    </w:p>
    <w:p w14:paraId="7BD3437D">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1、确定分析目标和范围</w:t>
      </w:r>
    </w:p>
    <w:p w14:paraId="271726E6">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明确分析的目标和范围，并确保分析活动具有针对性和实用性。包括了解项目的进展情况、评估项目质量、发现问题和风险、提出改进和优化建议等。</w:t>
      </w:r>
    </w:p>
    <w:p w14:paraId="2DB1F89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2、分析项目的关键指标</w:t>
      </w:r>
    </w:p>
    <w:p w14:paraId="5F1071A8">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通过分析项目的关键性能指标，如项目进度、资源利用率、成本控制和风险评估，可以揭示项目存在的问题和瓶颈。</w:t>
      </w:r>
    </w:p>
    <w:p w14:paraId="206C9CD6">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4、识别问题和瓶颈</w:t>
      </w:r>
    </w:p>
    <w:p w14:paraId="512FCBC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在分析关键指标的基础上，深入挖掘问题的根源和原因，找出问题背后的实质性原因</w:t>
      </w:r>
    </w:p>
    <w:p w14:paraId="707E775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5、提出改进和优化建议</w:t>
      </w:r>
    </w:p>
    <w:p w14:paraId="0158C47F">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根据分析结果，提出具体、可行的改进和优化建议，消除瓶颈，并推动项目向更好的方向发展。</w:t>
      </w:r>
    </w:p>
    <w:p w14:paraId="05B743E3">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（二） 人员、</w:t>
      </w:r>
      <w:r>
        <w:rPr>
          <w:rFonts w:hint="eastAsia" w:ascii="宋体" w:hAnsi="宋体" w:eastAsia="宋体" w:cs="宋体"/>
          <w:b w:val="0"/>
          <w:bCs w:val="0"/>
          <w:color w:val="000000"/>
          <w:spacing w:val="0"/>
          <w:sz w:val="24"/>
          <w:szCs w:val="24"/>
          <w:highlight w:val="none"/>
          <w:rtl w:val="0"/>
          <w:lang w:val="en-US" w:eastAsia="zh-CN" w:bidi="ar-SA"/>
        </w:rPr>
        <w:t>管理规章制度</w:t>
      </w:r>
      <w:r>
        <w:rPr>
          <w:rFonts w:hint="eastAsia" w:ascii="宋体" w:hAnsi="宋体" w:eastAsia="宋体" w:cs="宋体"/>
          <w:b w:val="0"/>
          <w:bCs w:val="0"/>
          <w:color w:val="000000"/>
          <w:spacing w:val="0"/>
          <w:sz w:val="24"/>
          <w:szCs w:val="24"/>
          <w:highlight w:val="none"/>
          <w:lang w:val="en-US" w:eastAsia="zh-CN" w:bidi="ar-SA"/>
        </w:rPr>
        <w:t>要求：</w:t>
      </w:r>
    </w:p>
    <w:p w14:paraId="4CABA03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由于环卫保洁项目特点，休息日及公众假期都不得影响保洁服务，具体保洁服务人员由中标单位以具体分布详情确定岗位，在遵守劳动法规前提下自行测算包含（人员工资、意外险、保洁用品、设备保养、垃圾桶）。</w:t>
      </w:r>
    </w:p>
    <w:p w14:paraId="4012AE31">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en-US" w:bidi="ar-SA"/>
        </w:rPr>
        <w:t>供应商要建立行之有效的内部考核和培训制度，建立健全内部考核制度激发项目组工作人员的工作积极性，并为员工建立全面的培训制度定期为员工展开培训加强技能培养，包括员工技能、服务、礼仪培训，现场管理人员的管理等。</w:t>
      </w:r>
    </w:p>
    <w:p w14:paraId="57F4EE6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4、</w:t>
      </w:r>
      <w:r>
        <w:rPr>
          <w:rFonts w:hint="eastAsia" w:ascii="宋体" w:hAnsi="宋体" w:eastAsia="宋体" w:cs="宋体"/>
          <w:b w:val="0"/>
          <w:bCs w:val="0"/>
          <w:color w:val="000000"/>
          <w:spacing w:val="0"/>
          <w:sz w:val="24"/>
          <w:szCs w:val="24"/>
          <w:highlight w:val="none"/>
          <w:lang w:val="en-US" w:eastAsia="en-US" w:bidi="ar-SA"/>
        </w:rPr>
        <w:t>内部考核管理制度：按岗位要求跟踪考核，并建立月度、年度考</w:t>
      </w:r>
      <w:r>
        <w:rPr>
          <w:rFonts w:hint="eastAsia" w:ascii="宋体" w:hAnsi="宋体" w:eastAsia="宋体" w:cs="宋体"/>
          <w:b w:val="0"/>
          <w:bCs w:val="0"/>
          <w:color w:val="000000"/>
          <w:spacing w:val="0"/>
          <w:sz w:val="24"/>
          <w:szCs w:val="24"/>
          <w:highlight w:val="none"/>
          <w:lang w:val="en-US" w:eastAsia="zh-CN" w:bidi="ar-SA"/>
        </w:rPr>
        <w:t>核机</w:t>
      </w:r>
      <w:r>
        <w:rPr>
          <w:rFonts w:hint="eastAsia" w:ascii="宋体" w:hAnsi="宋体" w:eastAsia="宋体" w:cs="宋体"/>
          <w:b w:val="0"/>
          <w:bCs w:val="0"/>
          <w:color w:val="000000"/>
          <w:spacing w:val="0"/>
          <w:sz w:val="24"/>
          <w:szCs w:val="24"/>
          <w:highlight w:val="none"/>
          <w:lang w:val="en-US" w:eastAsia="en-US" w:bidi="ar-SA"/>
        </w:rPr>
        <w:t>制，做好各种考核记录。对工作表现出色的员工进行奖励、晋升；对不能满足岗位要求的员工，则予退出岗位，进行待岗学习。考核内容：员工品行、工作能力、工作态度、遵规守纪等。</w:t>
      </w:r>
    </w:p>
    <w:p w14:paraId="3B43BB11">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5、</w:t>
      </w:r>
      <w:r>
        <w:rPr>
          <w:rFonts w:hint="eastAsia" w:ascii="宋体" w:hAnsi="宋体" w:eastAsia="宋体" w:cs="宋体"/>
          <w:b w:val="0"/>
          <w:bCs w:val="0"/>
          <w:color w:val="000000"/>
          <w:spacing w:val="0"/>
          <w:sz w:val="24"/>
          <w:szCs w:val="24"/>
          <w:highlight w:val="none"/>
          <w:lang w:val="en-US" w:eastAsia="en-US" w:bidi="ar-SA"/>
        </w:rPr>
        <w:t>员工培训计划：经常性开展在岗人员业务交流，每两个月至少一次（人数至少达15人），培训内容</w:t>
      </w:r>
      <w:r>
        <w:rPr>
          <w:rFonts w:hint="eastAsia" w:ascii="宋体" w:hAnsi="宋体" w:eastAsia="宋体" w:cs="宋体"/>
          <w:b w:val="0"/>
          <w:bCs w:val="0"/>
          <w:color w:val="000000"/>
          <w:spacing w:val="0"/>
          <w:sz w:val="24"/>
          <w:szCs w:val="24"/>
          <w:highlight w:val="none"/>
          <w:lang w:val="en-US" w:eastAsia="zh-CN" w:bidi="ar-SA"/>
        </w:rPr>
        <w:t>包括</w:t>
      </w:r>
      <w:r>
        <w:rPr>
          <w:rFonts w:hint="eastAsia" w:ascii="宋体" w:hAnsi="宋体" w:eastAsia="宋体" w:cs="宋体"/>
          <w:b w:val="0"/>
          <w:bCs w:val="0"/>
          <w:color w:val="000000"/>
          <w:spacing w:val="0"/>
          <w:sz w:val="24"/>
          <w:szCs w:val="24"/>
          <w:highlight w:val="none"/>
          <w:lang w:val="en-US" w:eastAsia="en-US" w:bidi="ar-SA"/>
        </w:rPr>
        <w:t>安全作业、日常管理、突发事件处理等，并做好台账记录，上报采购人。</w:t>
      </w:r>
    </w:p>
    <w:p w14:paraId="66A82A42">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6、中标供应商必须严格按照相关法律法规与保洁服务人员签订相关协议和交纳相关保险，中标单位为保洁人员购买意外伤害保险人身意外险保额不得低于150万元（中标供应商须在保洁合同签订前提供保险公司为本项目出具的保险单原件），其它保险按国家规定执行。</w:t>
      </w:r>
    </w:p>
    <w:p w14:paraId="0A1A946F">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Times New Roman" w:hAnsi="Times New Roman" w:eastAsia="宋体" w:cs="宋体"/>
          <w:b w:val="0"/>
          <w:bCs w:val="0"/>
          <w:color w:val="000000"/>
          <w:spacing w:val="0"/>
          <w:sz w:val="24"/>
          <w:szCs w:val="24"/>
          <w:highlight w:val="none"/>
          <w:lang w:val="en-US" w:eastAsia="zh-CN" w:bidi="ar-SA"/>
        </w:rPr>
        <w:t>7</w:t>
      </w:r>
      <w:r>
        <w:rPr>
          <w:rFonts w:hint="eastAsia" w:ascii="宋体" w:hAnsi="宋体" w:eastAsia="宋体" w:cs="宋体"/>
          <w:b w:val="0"/>
          <w:bCs w:val="0"/>
          <w:color w:val="000000"/>
          <w:spacing w:val="0"/>
          <w:sz w:val="24"/>
          <w:szCs w:val="24"/>
          <w:highlight w:val="none"/>
          <w:lang w:val="en-US" w:eastAsia="zh-CN" w:bidi="ar-SA"/>
        </w:rPr>
        <w:t>、人员遇到工伤意外等情况，中标单位全权负责与采购单位无关。</w:t>
      </w:r>
    </w:p>
    <w:p w14:paraId="69F8353D">
      <w:pPr>
        <w:spacing w:line="400" w:lineRule="exact"/>
        <w:ind w:firstLine="480"/>
        <w:jc w:val="both"/>
        <w:outlineLvl w:val="9"/>
        <w:rPr>
          <w:rFonts w:hint="eastAsia" w:ascii="宋体" w:hAnsi="宋体" w:eastAsia="宋体" w:cs="宋体"/>
          <w:b/>
          <w:color w:val="000000"/>
          <w:sz w:val="24"/>
          <w:szCs w:val="24"/>
          <w:highlight w:val="none"/>
          <w:rtl w:val="0"/>
          <w:lang w:val="en-US" w:eastAsia="zh-CN"/>
        </w:rPr>
      </w:pPr>
      <w:bookmarkStart w:id="89" w:name="_Toc2638"/>
      <w:r>
        <w:rPr>
          <w:rFonts w:hint="eastAsia" w:ascii="宋体" w:hAnsi="宋体" w:eastAsia="宋体" w:cs="宋体"/>
          <w:b/>
          <w:color w:val="000000"/>
          <w:sz w:val="24"/>
          <w:szCs w:val="24"/>
          <w:highlight w:val="none"/>
          <w:rtl w:val="0"/>
          <w:lang w:val="en-US" w:eastAsia="zh-CN"/>
        </w:rPr>
        <w:t>五、公共卫生服务作业</w:t>
      </w:r>
      <w:bookmarkEnd w:id="89"/>
      <w:r>
        <w:rPr>
          <w:rFonts w:hint="eastAsia" w:ascii="宋体" w:hAnsi="宋体" w:eastAsia="宋体" w:cs="宋体"/>
          <w:b/>
          <w:color w:val="000000"/>
          <w:sz w:val="24"/>
          <w:szCs w:val="24"/>
          <w:highlight w:val="none"/>
          <w:rtl w:val="0"/>
          <w:lang w:val="en-US" w:eastAsia="zh-CN"/>
        </w:rPr>
        <w:t>标准及实施要求</w:t>
      </w:r>
    </w:p>
    <w:p w14:paraId="11D2BF06">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（一）道路保洁</w:t>
      </w:r>
    </w:p>
    <w:p w14:paraId="7938848A">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1、7 小时保洁道路清扫保洁时间：早上 7：00—11:00、下午 2：00-5:00。</w:t>
      </w:r>
    </w:p>
    <w:p w14:paraId="736F93AE">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2、道路普扫保持无零星垃圾，无果皮纸屑，侧石无积泥积灰，遇雨天，侧石应无积水。路面不得有明显不洁或漏扫垃圾。街区路面每周冲洗3次。</w:t>
      </w:r>
    </w:p>
    <w:p w14:paraId="1D055A3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3、未硬化道路、闲置地块（空地）无垃圾、无卫生死角。</w:t>
      </w:r>
    </w:p>
    <w:p w14:paraId="06CA87F8">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4、道路、街巷、路边沟内无污泥、垃圾、杂草。</w:t>
      </w:r>
    </w:p>
    <w:p w14:paraId="110E82A7">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5、加强道路清扫保洁或巡回保洁的力度，无脱岗偷懒现象，路面无零星垃圾、杂物。</w:t>
      </w:r>
    </w:p>
    <w:p w14:paraId="6D090C1E">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6、严格遵守劳动纪律，准时上下班，不脱岗、不迟到、早退、偷懒、捡垃圾，工作时间不聚众闲谈。作业时，应穿反光背心。</w:t>
      </w:r>
    </w:p>
    <w:p w14:paraId="248390D7">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7、文明作业，优质服务，清扫作业时注意不将垃圾、污水溅到行人身上，不将垃圾扫入或倒入窨井、河道、绿化带。</w:t>
      </w:r>
    </w:p>
    <w:p w14:paraId="08BD07A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8.农村自然村庄主路两边清扫，白色垃圾的收集清理工作。</w:t>
      </w:r>
    </w:p>
    <w:p w14:paraId="7819ADC9">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（二）垃圾桶保洁</w:t>
      </w:r>
    </w:p>
    <w:p w14:paraId="0666EC7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1、要求在早上8点前作业完成，按日产日清要求收集垃圾，不得漏点和任意撤点， 桶内无沉积垃圾。</w:t>
      </w:r>
    </w:p>
    <w:p w14:paraId="5335E4F1">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2、垃圾桶不得满溢，垃圾量多时应及时清运。</w:t>
      </w:r>
    </w:p>
    <w:p w14:paraId="3A092CE2">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3、桶周围必须打扫干净，不得有建筑垃圾，不得焚烧垃圾。</w:t>
      </w:r>
    </w:p>
    <w:p w14:paraId="0DFA7D8D">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4、垃圾桶、底座配备人员必须每日至少 1 次清洗，保持清洁、完整，桶破损应及时进行调换。</w:t>
      </w:r>
    </w:p>
    <w:p w14:paraId="1B5451E9">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5、垃圾桶清运保洁人员作业时必须统一着装， 并设有专职的垃圾清运人员。</w:t>
      </w:r>
    </w:p>
    <w:p w14:paraId="1D94B733">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6、蚊蝇季节垃圾桶周围必须每日消杀灭蝇。</w:t>
      </w:r>
    </w:p>
    <w:p w14:paraId="3426ADBD">
      <w:pPr>
        <w:spacing w:line="400" w:lineRule="exact"/>
        <w:ind w:firstLine="480"/>
        <w:jc w:val="both"/>
        <w:rPr>
          <w:rFonts w:hint="default"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lang w:val="en-US" w:eastAsia="zh-CN"/>
        </w:rPr>
        <w:t>7、</w:t>
      </w:r>
      <w:r>
        <w:rPr>
          <w:rFonts w:hint="eastAsia" w:ascii="宋体" w:hAnsi="宋体" w:eastAsia="宋体" w:cs="宋体"/>
          <w:color w:val="000000"/>
          <w:sz w:val="24"/>
          <w:szCs w:val="24"/>
          <w:highlight w:val="none"/>
          <w:lang w:eastAsia="zh-CN"/>
        </w:rPr>
        <w:t>统一使用分类：塑料</w:t>
      </w:r>
      <w:r>
        <w:rPr>
          <w:rFonts w:hint="default" w:ascii="宋体" w:hAnsi="宋体" w:eastAsia="宋体" w:cs="Times New Roman"/>
          <w:color w:val="000000"/>
          <w:sz w:val="24"/>
          <w:szCs w:val="24"/>
          <w:highlight w:val="none"/>
          <w:lang w:eastAsia="zh-CN"/>
        </w:rPr>
        <w:t>240L</w:t>
      </w:r>
      <w:r>
        <w:rPr>
          <w:rFonts w:hint="eastAsia" w:ascii="宋体" w:hAnsi="宋体" w:eastAsia="宋体" w:cs="宋体"/>
          <w:color w:val="000000"/>
          <w:sz w:val="24"/>
          <w:szCs w:val="24"/>
          <w:highlight w:val="none"/>
          <w:lang w:eastAsia="zh-CN"/>
        </w:rPr>
        <w:t>垃圾桶（红、绿、黑、蓝）四色分类桶，确保垃圾有效分类，定时对垃圾桶进行擦洗，确保垃圾桶外观整洁，摆放整齐，无垃圾外溢现象，垃圾桶周围无散落垃圾，每周定期对垃圾桶药物消杀，破损垃圾桶及时更换。</w:t>
      </w:r>
    </w:p>
    <w:p w14:paraId="7F2AD755">
      <w:pPr>
        <w:spacing w:line="400" w:lineRule="exact"/>
        <w:ind w:firstLine="480"/>
        <w:jc w:val="both"/>
        <w:rPr>
          <w:rFonts w:hint="default" w:ascii="宋体" w:hAnsi="宋体" w:eastAsia="宋体" w:cs="Times New Roman"/>
          <w:color w:val="000000"/>
          <w:sz w:val="24"/>
          <w:szCs w:val="24"/>
          <w:highlight w:val="none"/>
          <w:lang w:eastAsia="zh-CN"/>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所有垃圾桶及时清理，无破损、残缺，封闭性好，无胀满外溢，做到日产日清，不得堆积、滞留，车走地净。每日至少两清掏，体表整洁，无满溢，无蚊蝇、无污水，箱周围地面应无抛洒、存留垃圾。垃圾必须按规定运输至垃圾中转站，不得随倾倒。</w:t>
      </w:r>
    </w:p>
    <w:p w14:paraId="537935EF">
      <w:pPr>
        <w:spacing w:line="400" w:lineRule="exact"/>
        <w:ind w:firstLine="480"/>
        <w:jc w:val="both"/>
        <w:rPr>
          <w:rFonts w:hint="default"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lang w:val="en-US" w:eastAsia="zh-CN"/>
        </w:rPr>
        <w:t>9、</w:t>
      </w:r>
      <w:r>
        <w:rPr>
          <w:rFonts w:hint="eastAsia" w:ascii="宋体" w:hAnsi="宋体" w:eastAsia="宋体" w:cs="宋体"/>
          <w:color w:val="000000"/>
          <w:sz w:val="24"/>
          <w:szCs w:val="24"/>
          <w:highlight w:val="none"/>
          <w:lang w:eastAsia="zh-CN"/>
        </w:rPr>
        <w:t>垃圾收集点及周围应整洁，无散落、存留垃圾和污水，应当定期清洗、喷洒消毒、灭蚊蝇药物，并无活鼠等。作业区域内零散无主生活垃圾应及时收集、清运，严禁焚烧垃圾。垃圾收集器应无残缺、破损，封闭性好，外表干净，如在室内，构筑物内外墙不得有明显积尘、污迹。运送垃圾的过程应覆盖密闭，实行</w:t>
      </w:r>
      <w:r>
        <w:rPr>
          <w:rFonts w:hint="default" w:ascii="宋体" w:hAnsi="宋体" w:eastAsia="宋体" w:cs="Calibri"/>
          <w:color w:val="000000"/>
          <w:sz w:val="24"/>
          <w:szCs w:val="24"/>
          <w:highlight w:val="none"/>
          <w:lang w:eastAsia="zh-CN"/>
        </w:rPr>
        <w:t>“</w:t>
      </w:r>
      <w:r>
        <w:rPr>
          <w:rFonts w:hint="eastAsia" w:ascii="宋体" w:hAnsi="宋体" w:eastAsia="宋体" w:cs="宋体"/>
          <w:color w:val="000000"/>
          <w:sz w:val="24"/>
          <w:szCs w:val="24"/>
          <w:highlight w:val="none"/>
          <w:lang w:eastAsia="zh-CN"/>
        </w:rPr>
        <w:t>垃圾不落地</w:t>
      </w:r>
      <w:r>
        <w:rPr>
          <w:rFonts w:hint="default" w:ascii="宋体" w:hAnsi="宋体" w:eastAsia="宋体" w:cs="Calibri"/>
          <w:color w:val="000000"/>
          <w:sz w:val="24"/>
          <w:szCs w:val="24"/>
          <w:highlight w:val="none"/>
          <w:lang w:eastAsia="zh-CN"/>
        </w:rPr>
        <w:t>”</w:t>
      </w:r>
      <w:r>
        <w:rPr>
          <w:rFonts w:hint="eastAsia" w:ascii="宋体" w:hAnsi="宋体" w:eastAsia="宋体" w:cs="宋体"/>
          <w:color w:val="000000"/>
          <w:sz w:val="24"/>
          <w:szCs w:val="24"/>
          <w:highlight w:val="none"/>
          <w:lang w:eastAsia="zh-CN"/>
        </w:rPr>
        <w:t>作业，不得有滴冒撒漏现象。不得乱倒、乱卸、乱抛垃圾，居民住宅附近的垃圾装运时应避免扰民。</w:t>
      </w:r>
    </w:p>
    <w:p w14:paraId="5C112422">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color w:val="000000"/>
          <w:sz w:val="24"/>
          <w:szCs w:val="24"/>
          <w:highlight w:val="none"/>
          <w:lang w:val="en-US" w:eastAsia="zh-CN" w:bidi="ar-SA"/>
        </w:rPr>
        <w:t>10、垃圾桶必须双只摆放，需要更换垃圾桶时必须更换。</w:t>
      </w:r>
    </w:p>
    <w:p w14:paraId="69FB8F1C">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（三）绿化、水体保洁</w:t>
      </w:r>
    </w:p>
    <w:p w14:paraId="190B61C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绿化区域的养护，根据季节的变化进行打药、浇水、修剪、施肥等工作。水体两侧绿化带废弃物、白色垃圾处理等，具体如下：</w:t>
      </w:r>
    </w:p>
    <w:p w14:paraId="09F8888C">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1、</w:t>
      </w:r>
      <w:r>
        <w:rPr>
          <w:rFonts w:hint="eastAsia" w:ascii="宋体" w:hAnsi="宋体" w:eastAsia="宋体" w:cs="宋体"/>
          <w:b w:val="0"/>
          <w:bCs w:val="0"/>
          <w:color w:val="000000"/>
          <w:spacing w:val="0"/>
          <w:sz w:val="24"/>
          <w:szCs w:val="24"/>
          <w:highlight w:val="none"/>
          <w:lang w:val="en-US" w:eastAsia="en-US" w:bidi="ar-SA"/>
        </w:rPr>
        <w:t xml:space="preserve"> 每年全范围绿化草坪、绿篱、珠形、花园修剪不低于8 次，乔灌木修剪不低于 2 次（春、秋）</w:t>
      </w:r>
      <w:r>
        <w:rPr>
          <w:rFonts w:hint="eastAsia" w:ascii="宋体" w:hAnsi="宋体" w:eastAsia="宋体" w:cs="宋体"/>
          <w:b w:val="0"/>
          <w:bCs w:val="0"/>
          <w:color w:val="000000"/>
          <w:spacing w:val="0"/>
          <w:sz w:val="24"/>
          <w:szCs w:val="24"/>
          <w:highlight w:val="none"/>
          <w:lang w:val="en-US" w:eastAsia="zh-CN" w:bidi="ar-SA"/>
        </w:rPr>
        <w:t>。</w:t>
      </w:r>
    </w:p>
    <w:p w14:paraId="5E3CF019">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2、</w:t>
      </w:r>
      <w:r>
        <w:rPr>
          <w:rFonts w:hint="eastAsia" w:ascii="宋体" w:hAnsi="宋体" w:eastAsia="宋体" w:cs="宋体"/>
          <w:b w:val="0"/>
          <w:bCs w:val="0"/>
          <w:color w:val="000000"/>
          <w:spacing w:val="0"/>
          <w:sz w:val="24"/>
          <w:szCs w:val="24"/>
          <w:highlight w:val="none"/>
          <w:lang w:val="en-US" w:eastAsia="en-US" w:bidi="ar-SA"/>
        </w:rPr>
        <w:t xml:space="preserve"> 施肥根据</w:t>
      </w:r>
      <w:r>
        <w:rPr>
          <w:rFonts w:hint="eastAsia" w:ascii="宋体" w:hAnsi="宋体" w:eastAsia="宋体" w:cs="宋体"/>
          <w:b w:val="0"/>
          <w:bCs w:val="0"/>
          <w:color w:val="000000"/>
          <w:spacing w:val="0"/>
          <w:sz w:val="24"/>
          <w:szCs w:val="24"/>
          <w:highlight w:val="none"/>
          <w:lang w:val="en-US" w:eastAsia="zh-CN" w:bidi="ar-SA"/>
        </w:rPr>
        <w:t>苗木</w:t>
      </w:r>
      <w:r>
        <w:rPr>
          <w:rFonts w:hint="eastAsia" w:ascii="宋体" w:hAnsi="宋体" w:eastAsia="宋体" w:cs="宋体"/>
          <w:b w:val="0"/>
          <w:bCs w:val="0"/>
          <w:color w:val="000000"/>
          <w:spacing w:val="0"/>
          <w:sz w:val="24"/>
          <w:szCs w:val="24"/>
          <w:highlight w:val="none"/>
          <w:lang w:val="en-US" w:eastAsia="en-US" w:bidi="ar-SA"/>
        </w:rPr>
        <w:t>需求而定，每年不少于2 次且必须根据</w:t>
      </w:r>
      <w:r>
        <w:rPr>
          <w:rFonts w:hint="eastAsia" w:ascii="宋体" w:hAnsi="宋体" w:eastAsia="宋体" w:cs="宋体"/>
          <w:b w:val="0"/>
          <w:bCs w:val="0"/>
          <w:color w:val="000000"/>
          <w:spacing w:val="0"/>
          <w:sz w:val="24"/>
          <w:szCs w:val="24"/>
          <w:highlight w:val="none"/>
          <w:lang w:val="en-US" w:eastAsia="zh-CN" w:bidi="ar-SA"/>
        </w:rPr>
        <w:t>业主</w:t>
      </w:r>
      <w:r>
        <w:rPr>
          <w:rFonts w:hint="eastAsia" w:ascii="宋体" w:hAnsi="宋体" w:eastAsia="宋体" w:cs="宋体"/>
          <w:b w:val="0"/>
          <w:bCs w:val="0"/>
          <w:color w:val="000000"/>
          <w:spacing w:val="0"/>
          <w:sz w:val="24"/>
          <w:szCs w:val="24"/>
          <w:highlight w:val="none"/>
          <w:lang w:val="en-US" w:eastAsia="en-US" w:bidi="ar-SA"/>
        </w:rPr>
        <w:t>方要求打穴深施。</w:t>
      </w:r>
    </w:p>
    <w:p w14:paraId="3726874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3、</w:t>
      </w:r>
      <w:r>
        <w:rPr>
          <w:rFonts w:hint="eastAsia" w:ascii="宋体" w:hAnsi="宋体" w:eastAsia="宋体" w:cs="宋体"/>
          <w:b w:val="0"/>
          <w:bCs w:val="0"/>
          <w:color w:val="000000"/>
          <w:spacing w:val="0"/>
          <w:sz w:val="24"/>
          <w:szCs w:val="24"/>
          <w:highlight w:val="none"/>
          <w:lang w:val="en-US" w:eastAsia="en-US" w:bidi="ar-SA"/>
        </w:rPr>
        <w:t>负责购买农药，根据苗木、花草季节病虫害实际情况及时防治。</w:t>
      </w:r>
    </w:p>
    <w:p w14:paraId="2FED6F69">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4、</w:t>
      </w:r>
      <w:r>
        <w:rPr>
          <w:rFonts w:hint="eastAsia" w:ascii="宋体" w:hAnsi="宋体" w:eastAsia="宋体" w:cs="宋体"/>
          <w:b w:val="0"/>
          <w:bCs w:val="0"/>
          <w:color w:val="000000"/>
          <w:spacing w:val="0"/>
          <w:sz w:val="24"/>
          <w:szCs w:val="24"/>
          <w:highlight w:val="none"/>
          <w:lang w:val="en-US" w:eastAsia="en-US" w:bidi="ar-SA"/>
        </w:rPr>
        <w:t>所有管养的苗圃、绿地、草坪、树木等及时磨叉、除草、施肥、修剪、治虫、过冬维护，确保花草、苗木生长良好，无缺水，对倒伏苗木及时扶正加固，并保证修剪后苗木的整体艺术效果。</w:t>
      </w:r>
    </w:p>
    <w:p w14:paraId="42D0464F">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5、</w:t>
      </w:r>
      <w:r>
        <w:rPr>
          <w:rFonts w:hint="eastAsia" w:ascii="宋体" w:hAnsi="宋体" w:eastAsia="宋体" w:cs="宋体"/>
          <w:b w:val="0"/>
          <w:bCs w:val="0"/>
          <w:color w:val="000000"/>
          <w:spacing w:val="0"/>
          <w:sz w:val="24"/>
          <w:szCs w:val="24"/>
          <w:highlight w:val="none"/>
          <w:lang w:val="en-US" w:eastAsia="en-US" w:bidi="ar-SA"/>
        </w:rPr>
        <w:t xml:space="preserve"> 负责养护过程中产生的垃圾清运，确保清理及时，整洁卫生。应同时清除碎石和杂草，有影响排水的局部区域应及时处理。</w:t>
      </w:r>
    </w:p>
    <w:p w14:paraId="68DE3E01">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6、</w:t>
      </w:r>
      <w:r>
        <w:rPr>
          <w:rFonts w:hint="eastAsia" w:ascii="宋体" w:hAnsi="宋体" w:eastAsia="宋体" w:cs="宋体"/>
          <w:b w:val="0"/>
          <w:bCs w:val="0"/>
          <w:color w:val="000000"/>
          <w:spacing w:val="0"/>
          <w:sz w:val="24"/>
          <w:szCs w:val="24"/>
          <w:highlight w:val="none"/>
          <w:lang w:val="en-US" w:eastAsia="en-US" w:bidi="ar-SA"/>
        </w:rPr>
        <w:t xml:space="preserve"> 落实管养责任及时排水、培土、防治病虫害。发现苗木枯死的，及时上报</w:t>
      </w:r>
      <w:r>
        <w:rPr>
          <w:rFonts w:hint="eastAsia" w:ascii="宋体" w:hAnsi="宋体" w:eastAsia="宋体" w:cs="宋体"/>
          <w:b w:val="0"/>
          <w:bCs w:val="0"/>
          <w:color w:val="000000"/>
          <w:spacing w:val="0"/>
          <w:sz w:val="24"/>
          <w:szCs w:val="24"/>
          <w:highlight w:val="none"/>
          <w:lang w:val="en-US" w:eastAsia="zh-CN" w:bidi="ar-SA"/>
        </w:rPr>
        <w:t>业主</w:t>
      </w:r>
      <w:r>
        <w:rPr>
          <w:rFonts w:hint="eastAsia" w:ascii="宋体" w:hAnsi="宋体" w:eastAsia="宋体" w:cs="宋体"/>
          <w:b w:val="0"/>
          <w:bCs w:val="0"/>
          <w:color w:val="000000"/>
          <w:spacing w:val="0"/>
          <w:sz w:val="24"/>
          <w:szCs w:val="24"/>
          <w:highlight w:val="none"/>
          <w:lang w:val="en-US" w:eastAsia="en-US" w:bidi="ar-SA"/>
        </w:rPr>
        <w:t>方重新采购补植，并确保成活率。</w:t>
      </w:r>
    </w:p>
    <w:p w14:paraId="337AFB2E">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z w:val="24"/>
          <w:szCs w:val="24"/>
          <w:lang w:val="en-US" w:eastAsia="en-US" w:bidi="ar-SA"/>
        </w:rPr>
      </w:pPr>
      <w:r>
        <w:rPr>
          <w:rFonts w:hint="eastAsia" w:ascii="宋体" w:hAnsi="宋体" w:eastAsia="宋体" w:cs="宋体"/>
          <w:b w:val="0"/>
          <w:bCs w:val="0"/>
          <w:color w:val="000000"/>
          <w:sz w:val="24"/>
          <w:szCs w:val="24"/>
          <w:lang w:val="en-US" w:eastAsia="zh-CN" w:bidi="ar-SA"/>
        </w:rPr>
        <w:t>7、 管养期间树木生长压到高压线或者有其他安全隐患时，需要及时处理。</w:t>
      </w:r>
    </w:p>
    <w:p w14:paraId="2C6C2F25">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z w:val="24"/>
          <w:szCs w:val="24"/>
          <w:lang w:val="en-US" w:eastAsia="en-US" w:bidi="ar-SA"/>
        </w:rPr>
      </w:pPr>
      <w:r>
        <w:rPr>
          <w:rFonts w:hint="eastAsia" w:ascii="宋体" w:hAnsi="宋体" w:eastAsia="宋体" w:cs="宋体"/>
          <w:b w:val="0"/>
          <w:bCs w:val="0"/>
          <w:color w:val="000000"/>
          <w:sz w:val="24"/>
          <w:szCs w:val="24"/>
          <w:lang w:val="en-US" w:eastAsia="zh-CN" w:bidi="ar-SA"/>
        </w:rPr>
        <w:t>8、 负责河道、沟渠的日常保洁管理，及时打捞和清除河道、沟渠内的浮萍、杂草等各种漂浮物、垃圾和水生植物，清理河道两岸路面及绿化带内垃圾、杂草。</w:t>
      </w:r>
    </w:p>
    <w:p w14:paraId="7D43A727">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z w:val="24"/>
          <w:szCs w:val="24"/>
          <w:lang w:val="en-US" w:eastAsia="en-US" w:bidi="ar-SA"/>
        </w:rPr>
      </w:pPr>
      <w:r>
        <w:rPr>
          <w:rFonts w:hint="eastAsia" w:ascii="宋体" w:hAnsi="宋体" w:eastAsia="宋体" w:cs="宋体"/>
          <w:b w:val="0"/>
          <w:bCs w:val="0"/>
          <w:color w:val="000000"/>
          <w:sz w:val="24"/>
          <w:szCs w:val="24"/>
          <w:lang w:val="en-US" w:eastAsia="zh-CN" w:bidi="ar-SA"/>
        </w:rPr>
        <w:t>9、 及时清理、收集河道、沟渠保洁范围内垃圾杂物，并运送至指定地点。</w:t>
      </w:r>
    </w:p>
    <w:p w14:paraId="5860F5EB">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（四）公共空间的维护</w:t>
      </w:r>
    </w:p>
    <w:p w14:paraId="7883137B">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1、集镇区：街道沿街垃圾桶，每周清洗至少一次，保持垃圾桶的清洁卫生，垃圾及时清运，不得满溢和任意撤点、漏点，垃圾桶破损应及时更换。摆放杂物（如陈年老旧沙发、自行车、桌椅板凳等）；占道经营；零售商贩等发生的类似情况首先告知业主或占有方，传播公共空间的维护意义，并告知居委会及城市管理部门进行跟进。</w:t>
      </w:r>
    </w:p>
    <w:p w14:paraId="1EFF3A76">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2、农村自然村庄：各村庄垃圾桶投放，不得漏点和任意撤点，破损垃圾桶应及时更换，定期清洁。垃圾桶不得满溢，垃圾及时清运。秸秆等物品首先要进行告知业主并与居委会联系，配合居委会进行劝阻。</w:t>
      </w:r>
    </w:p>
    <w:p w14:paraId="31CBD766">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3、集镇区的护栏、广告牌、道牌、停车场、经营户门前保洁、小广告、乱堆乱放等，需第一时间清理保洁到位，并通知城管队及相关村居给予支持配合。</w:t>
      </w:r>
    </w:p>
    <w:p w14:paraId="7EE017C9">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（五）公共卫生间保洁要求</w:t>
      </w:r>
    </w:p>
    <w:p w14:paraId="1D4AA9DE">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1、负责辖区内公厕的日常管理。</w:t>
      </w:r>
    </w:p>
    <w:p w14:paraId="61C959C6">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 对于破损及时上报申请维修，填写申请维修单。</w:t>
      </w:r>
    </w:p>
    <w:p w14:paraId="0D10691A">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3、负责公厕的灭蚊蝇、蛆虫、消毒除臭等工作。</w:t>
      </w:r>
    </w:p>
    <w:p w14:paraId="5CA6CCBD">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4、 负责辖区内公厕运行过程中所需的工具、消毒药水、清洗剂等。</w:t>
      </w:r>
    </w:p>
    <w:p w14:paraId="7102D0FB">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5、遇雨雪天气等地面湿滑情况，应在公厕通道内铺设防滑垫，设置防滑警示牌。</w:t>
      </w:r>
    </w:p>
    <w:p w14:paraId="43B2B43B">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6、 做到公共厕所周围整洁，无乱张贴、乱涂写、乱刻画、乱吊挂、乱堆放等行为；保持环境卫生整洁，无垃圾、粪便、污水、无污迹、无渣土，无蚊蝇滋生地；</w:t>
      </w:r>
    </w:p>
    <w:p w14:paraId="2817F26D">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7、 做好公厕卫生，做到七净、七无、一畅通，即：地面净，墙面净、隔断净、便池净、门窗净、设施设备净、管理用房整洁干净；无烟头纸屑、无阻塞、无尿垢、无蜘蛛网、无积尘、无积水、无臭味、无锈迹；无臭味，纸篓废弃物不得超过纸篓容积的1/2，下水道畅通无阻。</w:t>
      </w:r>
    </w:p>
    <w:p w14:paraId="0828E57F">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8、 公厕标志明显规范，管理制度公示牌、责任内容上墙。洗手池、水龙头、灯具、门窗等设施齐全完好。</w:t>
      </w:r>
    </w:p>
    <w:p w14:paraId="286E112E">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9、 公厕内门窗、隔断、洗手盆、镜面、地面、蹲台面无污物积水，要保持清洁，墙壁无污迹、无蛛网、无乱刻画。</w:t>
      </w:r>
    </w:p>
    <w:p w14:paraId="67DDDEBC">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10、 公厕内小便器、蹲便器、坐便器要干净清洁无尿碱和其他废弃物，便槽（池）</w:t>
      </w:r>
    </w:p>
    <w:p w14:paraId="7481AA8C">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内不得有积粪、杂物。</w:t>
      </w:r>
    </w:p>
    <w:p w14:paraId="11581DC8">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11、定期消毒、厕内基本无臭味，开门期间应当保持点檀香不断，小便池内保持长期投放芳香球，无蝇、蛆喷洒灭蚊蝇、除臭药物每周不少于2 次。粪便满了及时上报抽理。</w:t>
      </w:r>
    </w:p>
    <w:p w14:paraId="73BED496">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12、 不得改动公厕现有基础设施设备，不得挪作他用。</w:t>
      </w:r>
    </w:p>
    <w:p w14:paraId="3254493B">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13、 不得占用或妨碍第三卫生间的正常使用。</w:t>
      </w:r>
    </w:p>
    <w:p w14:paraId="17E28AA5">
      <w:pPr>
        <w:spacing w:line="400" w:lineRule="exact"/>
        <w:ind w:firstLine="480"/>
        <w:jc w:val="both"/>
        <w:outlineLvl w:val="9"/>
        <w:rPr>
          <w:rFonts w:hint="eastAsia" w:ascii="宋体" w:hAnsi="宋体" w:eastAsia="宋体" w:cs="宋体"/>
          <w:b/>
          <w:color w:val="000000"/>
          <w:sz w:val="24"/>
          <w:szCs w:val="24"/>
          <w:highlight w:val="none"/>
          <w:rtl w:val="0"/>
          <w:lang w:val="en-US" w:eastAsia="zh-CN"/>
        </w:rPr>
      </w:pPr>
      <w:bookmarkStart w:id="90" w:name="_Toc3941"/>
      <w:bookmarkStart w:id="91" w:name="_Toc4592"/>
      <w:r>
        <w:rPr>
          <w:rFonts w:hint="eastAsia" w:ascii="宋体" w:hAnsi="宋体" w:eastAsia="宋体" w:cs="宋体"/>
          <w:b/>
          <w:color w:val="000000"/>
          <w:sz w:val="24"/>
          <w:szCs w:val="24"/>
          <w:highlight w:val="none"/>
          <w:rtl w:val="0"/>
          <w:lang w:val="en-US" w:eastAsia="zh-CN"/>
        </w:rPr>
        <w:t xml:space="preserve">六、 </w:t>
      </w:r>
      <w:bookmarkEnd w:id="90"/>
      <w:bookmarkEnd w:id="91"/>
      <w:r>
        <w:rPr>
          <w:rFonts w:hint="eastAsia" w:ascii="宋体" w:hAnsi="宋体" w:eastAsia="宋体" w:cs="宋体"/>
          <w:b/>
          <w:color w:val="000000"/>
          <w:sz w:val="24"/>
          <w:szCs w:val="24"/>
          <w:highlight w:val="none"/>
          <w:rtl w:val="0"/>
          <w:lang w:val="en-US" w:eastAsia="zh-CN"/>
        </w:rPr>
        <w:t>应急保障方案要求（包括但不限于重大活动或创城迎检应急保障、重大自然灾害应急保障）</w:t>
      </w:r>
    </w:p>
    <w:p w14:paraId="7D4456BC">
      <w:pPr>
        <w:spacing w:line="400" w:lineRule="exact"/>
        <w:ind w:firstLine="480"/>
        <w:jc w:val="both"/>
        <w:outlineLvl w:val="9"/>
        <w:rPr>
          <w:rFonts w:hint="default"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1</w:t>
      </w:r>
      <w:r>
        <w:rPr>
          <w:rFonts w:hint="default"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eastAsia="zh-CN"/>
        </w:rPr>
        <w:t>重大活动应急保障</w:t>
      </w:r>
    </w:p>
    <w:p w14:paraId="4736FF2E">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1.1乙方要成立环境保障24小时应急工作小组。具体负责突发环境事件应对工作的组织、调度、协调与实施工作，建立和完善环境应急预警机制和工作联系机制，保证信息通畅，做到信息共享。</w:t>
      </w:r>
    </w:p>
    <w:p w14:paraId="2F91522F">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1.2乙方要严格按照有关规定，在重大活动或创城迎检时无条件按照甲方部署增派人力、物力投入，全面高标准、高水平保障、管控，保障沿线道路及进出口、连通道100米范围内达国家一级道路标准，绿化带（花坛）保洁按一级道路标准进行环卫作业，作业人员工具齐全、服装整洁，管理人员通信畅通。</w:t>
      </w:r>
    </w:p>
    <w:p w14:paraId="473B7332">
      <w:pPr>
        <w:spacing w:line="400" w:lineRule="exact"/>
        <w:ind w:firstLine="480"/>
        <w:jc w:val="both"/>
        <w:outlineLvl w:val="9"/>
        <w:rPr>
          <w:rFonts w:hint="default"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2.</w:t>
      </w:r>
      <w:r>
        <w:rPr>
          <w:rFonts w:hint="eastAsia" w:ascii="宋体" w:hAnsi="宋体" w:eastAsia="宋体" w:cs="宋体"/>
          <w:b/>
          <w:color w:val="000000"/>
          <w:sz w:val="24"/>
          <w:szCs w:val="24"/>
          <w:highlight w:val="none"/>
          <w:lang w:eastAsia="zh-CN"/>
        </w:rPr>
        <w:t>重大自然灾害应急保障</w:t>
      </w:r>
    </w:p>
    <w:p w14:paraId="4364084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2.1暴雨洪水应急保障</w:t>
      </w:r>
    </w:p>
    <w:p w14:paraId="35699602">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2.1.1暴雨过后，及时清除马路上的积水、淤泥、残渣、漂浮物等。</w:t>
      </w:r>
    </w:p>
    <w:p w14:paraId="3F7B3A63">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2.1.2遇到特大暴雨洪水灾害时，环卫工人要及时清除紧急避难场所及周边的垃圾，并配合做好防疫消毒工作。</w:t>
      </w:r>
    </w:p>
    <w:p w14:paraId="5602D4F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2.1.3洪灾过后，环卫工人应及时清理市民撤离后遗留的垃圾，做好环境卫生工作。</w:t>
      </w:r>
    </w:p>
    <w:p w14:paraId="19C2D3DE">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2.2冬季除雪保障</w:t>
      </w:r>
    </w:p>
    <w:p w14:paraId="547B7B79">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2.2.1冬季除雪重点区域：道路、桥梁、地下通道、坡道、重要进出口道路等。</w:t>
      </w:r>
    </w:p>
    <w:p w14:paraId="70CD406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2.2.2降雪期间，应组织人工扫雪。先减少地面存雪量，再适量地施撒融雪剂。</w:t>
      </w:r>
    </w:p>
    <w:p w14:paraId="16514818">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2.3.大雾天气保障</w:t>
      </w:r>
    </w:p>
    <w:p w14:paraId="27877349">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2.3.1大雾天气时，环卫工人应着反光标志服上岗，严禁在机动车道上作业。雾散后，在机动道上作业要采取安全防护措施（安全警示牌、专人疏导车辆维护现场）。</w:t>
      </w:r>
    </w:p>
    <w:p w14:paraId="21C85342">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2.3.2大雾天气如遇重大活动保障，保障线路上作业人员只能在慢车道靠人字沟侧收集人行道、人字沟的废弃物，靠边作业，确保保障线路干净整洁。</w:t>
      </w:r>
    </w:p>
    <w:p w14:paraId="70C7108C">
      <w:pPr>
        <w:spacing w:line="400" w:lineRule="exact"/>
        <w:ind w:firstLine="480"/>
        <w:jc w:val="both"/>
        <w:outlineLvl w:val="9"/>
        <w:rPr>
          <w:rFonts w:hint="eastAsia" w:ascii="宋体" w:hAnsi="宋体" w:eastAsia="宋体" w:cs="宋体"/>
          <w:b/>
          <w:color w:val="000000"/>
          <w:sz w:val="24"/>
          <w:szCs w:val="24"/>
          <w:highlight w:val="none"/>
          <w:rtl w:val="0"/>
          <w:lang w:val="en-US" w:eastAsia="zh-CN"/>
        </w:rPr>
      </w:pPr>
      <w:r>
        <w:rPr>
          <w:rFonts w:hint="eastAsia" w:ascii="宋体" w:hAnsi="宋体" w:eastAsia="宋体" w:cs="宋体"/>
          <w:b/>
          <w:color w:val="000000"/>
          <w:sz w:val="24"/>
          <w:szCs w:val="24"/>
          <w:highlight w:val="none"/>
          <w:rtl w:val="0"/>
          <w:lang w:val="en-US" w:eastAsia="zh-CN"/>
        </w:rPr>
        <w:t>七、工具、设备及物耗方案要求</w:t>
      </w:r>
    </w:p>
    <w:p w14:paraId="28A14255">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1、街道保洁人员所需的工具：扫把、铁锹、雪铲、簸箕垃圾收集袋及捡拾器等低值易耗工具，为保洁人员配备必要的工具和安全防护用具等；</w:t>
      </w:r>
    </w:p>
    <w:p w14:paraId="065629D1">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2、保洁机械设备：供应商自有扫地车、垃圾清运车、抑尘车、电瓶式三轮快速保洁车、人力三轮保洁车、其他小型机械化保洁设备或机具等须足量。车辆的燃油、保养及维修费等由中标供应商负责。</w:t>
      </w:r>
    </w:p>
    <w:p w14:paraId="5D4E140A">
      <w:pPr>
        <w:keepNext w:val="0"/>
        <w:keepLines w:val="0"/>
        <w:pageBreakBefore w:val="0"/>
        <w:widowControl w:val="0"/>
        <w:spacing w:before="0" w:after="0" w:line="440" w:lineRule="exact"/>
        <w:ind w:left="0" w:right="0" w:firstLine="480"/>
        <w:jc w:val="left"/>
        <w:rPr>
          <w:rFonts w:hint="default"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注：街道目前拥有的保洁机械，由采购人以市场价格租用给成交人，保养费、维修费及带来的安全责任均由成交人负责。</w:t>
      </w:r>
    </w:p>
    <w:p w14:paraId="0CB4F77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3、为每名保洁员订制马甲。服装带有反光条安全标识，服装式样、颜色、材质及配字符合采购人规定的统一标准和要求，其他劳动保护用品满足作业需要。</w:t>
      </w:r>
    </w:p>
    <w:p w14:paraId="09EDD011">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4、垃圾桶购买与维护需要中标供应商负责。</w:t>
      </w:r>
    </w:p>
    <w:p w14:paraId="31276DEC">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后期服务期间所产生的一切费用由中标单位承担。</w:t>
      </w:r>
    </w:p>
    <w:p w14:paraId="347EC686">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7、保洁消耗品：包括但不限于84 消毒液、大号垃圾袋、小号垃圾袋、</w:t>
      </w:r>
      <w:r>
        <w:rPr>
          <w:rFonts w:hint="eastAsia" w:ascii="宋体" w:hAnsi="宋体" w:eastAsia="宋体" w:cs="宋体"/>
          <w:b w:val="0"/>
          <w:bCs w:val="0"/>
          <w:color w:val="000000"/>
          <w:spacing w:val="0"/>
          <w:sz w:val="24"/>
          <w:szCs w:val="24"/>
          <w:highlight w:val="none"/>
          <w:lang w:val="en-US" w:eastAsia="zh-CN" w:bidi="ar-SA"/>
        </w:rPr>
        <w:t>灭蚊蝇药物、清洗剂、防滑垫、纸篓、檀香、芳香球、除臭药物、蚊香、大扫把、小扫把、防风簸箕、</w:t>
      </w:r>
      <w:r>
        <w:rPr>
          <w:rFonts w:hint="eastAsia" w:ascii="宋体" w:hAnsi="宋体" w:eastAsia="宋体" w:cs="宋体"/>
          <w:b w:val="0"/>
          <w:bCs w:val="0"/>
          <w:color w:val="000000"/>
          <w:spacing w:val="0"/>
          <w:sz w:val="24"/>
          <w:szCs w:val="24"/>
          <w:highlight w:val="none"/>
          <w:rtl w:val="0"/>
          <w:lang w:val="en-US" w:eastAsia="zh-CN" w:bidi="ar-SA"/>
        </w:rPr>
        <w:t>洁厕灵、拖把、一次性手套、抹布、喷壶等，制定消耗品管理台账。</w:t>
      </w:r>
    </w:p>
    <w:p w14:paraId="70B730A2">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8、保洁工具全新或九成新以上。</w:t>
      </w:r>
    </w:p>
    <w:p w14:paraId="5347460A">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9、按服务要求的提供拟投入的设备明细表、物耗明细表，包含</w:t>
      </w:r>
      <w:r>
        <w:rPr>
          <w:rFonts w:hint="eastAsia" w:ascii="宋体" w:hAnsi="宋体" w:eastAsia="宋体" w:cs="宋体"/>
          <w:b w:val="0"/>
          <w:bCs w:val="0"/>
          <w:color w:val="000000"/>
          <w:spacing w:val="0"/>
          <w:sz w:val="24"/>
          <w:szCs w:val="24"/>
          <w:highlight w:val="none"/>
          <w:lang w:val="en-US" w:eastAsia="zh-CN" w:bidi="ar-SA"/>
        </w:rPr>
        <w:t>保洁机械设备、</w:t>
      </w:r>
      <w:r>
        <w:rPr>
          <w:rFonts w:hint="eastAsia" w:ascii="宋体" w:hAnsi="宋体" w:eastAsia="宋体" w:cs="宋体"/>
          <w:b w:val="0"/>
          <w:bCs w:val="0"/>
          <w:color w:val="000000"/>
          <w:spacing w:val="0"/>
          <w:sz w:val="24"/>
          <w:szCs w:val="24"/>
          <w:highlight w:val="none"/>
          <w:rtl w:val="0"/>
          <w:lang w:val="en-US" w:eastAsia="zh-CN" w:bidi="ar-SA"/>
        </w:rPr>
        <w:t>办公用品、清洁工具、通讯器材，各种维修器材等工具、各种保洁专用警示牌等，并注明具体使用场景及用途等。</w:t>
      </w:r>
    </w:p>
    <w:p w14:paraId="26B287FD">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10、成交供应商进场履约前一天，必须将以上设备、物品等配置到办公区，缺一不可。否则采购人将拒绝成交供应商进场，所产生的责任由成交供应商承担。合同生效后3个工作日内因成交供应商未将上述设备完全提供导致延误的，采购人将报相关部门进行处理。</w:t>
      </w:r>
    </w:p>
    <w:p w14:paraId="3FAF3992">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11、为更好地进行保洁服务，供应商应提供满足采购需求的必要设备和工具。</w:t>
      </w:r>
    </w:p>
    <w:p w14:paraId="39AEB5BF">
      <w:pPr>
        <w:widowControl w:val="0"/>
        <w:numPr>
          <w:ilvl w:val="0"/>
          <w:numId w:val="0"/>
        </w:numPr>
        <w:spacing w:line="360" w:lineRule="auto"/>
        <w:ind w:firstLine="482"/>
        <w:jc w:val="both"/>
        <w:outlineLvl w:val="1"/>
        <w:rPr>
          <w:rFonts w:hint="default" w:ascii="宋体" w:hAnsi="宋体" w:eastAsia="宋体" w:cs="宋体"/>
          <w:b/>
          <w:bCs/>
          <w:color w:val="000000"/>
          <w:sz w:val="24"/>
          <w:szCs w:val="22"/>
          <w:highlight w:val="none"/>
          <w:rtl w:val="0"/>
          <w:lang w:val="en-US" w:eastAsia="zh-CN" w:bidi="ar-SA"/>
        </w:rPr>
      </w:pPr>
      <w:bookmarkStart w:id="92" w:name="_Toc6600"/>
      <w:bookmarkStart w:id="93" w:name="_Toc24332"/>
      <w:r>
        <w:rPr>
          <w:rFonts w:hint="eastAsia" w:ascii="宋体" w:hAnsi="宋体" w:eastAsia="宋体" w:cs="宋体"/>
          <w:b/>
          <w:bCs/>
          <w:color w:val="000000"/>
          <w:sz w:val="24"/>
          <w:szCs w:val="22"/>
          <w:highlight w:val="none"/>
          <w:rtl w:val="0"/>
          <w:lang w:val="en-US" w:eastAsia="zh-CN" w:bidi="ar-SA"/>
        </w:rPr>
        <w:t>八、 安全、文明作业实施方案要求</w:t>
      </w:r>
    </w:p>
    <w:p w14:paraId="6254AD43">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1.安全作业实施要求</w:t>
      </w:r>
    </w:p>
    <w:p w14:paraId="28BA10D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安全作业要求是确保道路清洁工人在执行职务时的安全和健康的重要保障。这些要求通常涵盖了作业前的准备工作、作业过程中的安全措施以及作业后的现场处理等多个方面。具体的要求可能包括但不限于穿戴适当的防护装备、遵守交通规则、使用安全警示标识、以及应对突发情况的紧急措施等。</w:t>
      </w:r>
    </w:p>
    <w:p w14:paraId="051ED64E">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1.1车辆作业安全要求:</w:t>
      </w:r>
    </w:p>
    <w:p w14:paraId="7CF9A53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(1)出车前检查车况，保持性能良好</w:t>
      </w:r>
    </w:p>
    <w:p w14:paraId="41F3A47D">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(2)严格按照《中华人民共和国道路交通安全法》规定驾驶作业车辆。洒水车、清扫车等机动车应当按照安全作业标准作业;在不影响其他车辆通行的情况下，可以不受车辆分道行驶的限制，但是不得逆向行驶。</w:t>
      </w:r>
    </w:p>
    <w:p w14:paraId="3213BFE3">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(3)遵守本市交管部门相关规定。</w:t>
      </w:r>
    </w:p>
    <w:p w14:paraId="2D8A6465">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(4)现场管理员当班时应监督使用人作业，发现违规操作或异常情况应及时制止。</w:t>
      </w:r>
    </w:p>
    <w:p w14:paraId="6F7ECA1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(5)环卫用车必须按规定的线路和地点行驶。</w:t>
      </w:r>
    </w:p>
    <w:p w14:paraId="7F185046">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1.2人员作业安全要求:</w:t>
      </w:r>
    </w:p>
    <w:p w14:paraId="61581B4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(1)注意避让车辆。</w:t>
      </w:r>
    </w:p>
    <w:p w14:paraId="486E4861">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(2)作业时必须穿戴安全反光标志的工作服、挂工作牌。</w:t>
      </w:r>
    </w:p>
    <w:p w14:paraId="2BF8419F">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(3)进入机动车道进行保洁捡拾作业时，必须在来车方向提前30 米-50 米设置警示标志，如安全锥筒、警示灯等，以提醒驾驶员减速慢行。</w:t>
      </w:r>
    </w:p>
    <w:p w14:paraId="3A34FC7B">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(4)了解作业区域的特点，包括交通流量、潜在的危险点等，以便更好地规划作业路线和时间。</w:t>
      </w:r>
    </w:p>
    <w:p w14:paraId="08A1904E">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(5)检查工具和设备，确保所有的清洁工具和运输设备都处于良好的工作状态，没有损坏或缺陷。</w:t>
      </w:r>
    </w:p>
    <w:p w14:paraId="15CA799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1.3一旦发生事故或紧急情况，应立即采取应急措施，如联系救护车、向上级报告等，并将损失降到最低。</w:t>
      </w:r>
    </w:p>
    <w:p w14:paraId="3A3BDE2A">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1.4作业结束后，保洁人员需要对作业区域进行彻底地清理，并妥善处理可能遗留的问题：</w:t>
      </w:r>
    </w:p>
    <w:p w14:paraId="59172757">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清理现场：确保作业区域无遗漏物品，保持整洁和卫生。</w:t>
      </w:r>
    </w:p>
    <w:p w14:paraId="271EABFC">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整理工具和设备：将工具和设备归位存放，确保下次使用时能够迅速找到。</w:t>
      </w:r>
    </w:p>
    <w:p w14:paraId="3AE26C9B">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检查安全隐患：如电源插头是否拔下、门窗是否关闭等，确保作业场所的安全。</w:t>
      </w:r>
    </w:p>
    <w:p w14:paraId="61A33785">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2.文明作业实施要求</w:t>
      </w:r>
    </w:p>
    <w:p w14:paraId="41635365">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文明作业措施是城市管理的重要组成部分，它涉及到城市形象的塑造和市民生活质量的提升。</w:t>
      </w:r>
    </w:p>
    <w:p w14:paraId="02BF7D4E">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2.1人员的素质教育与服务态度</w:t>
      </w:r>
    </w:p>
    <w:p w14:paraId="2D91AEC3">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道路保洁员的素质教育和服务态度是文明作业的基础，保洁员在接受培训时，不仅要学习专业的清洁技能，还要培养良好的职业道德和服务态度。例如，要求保洁员精神饱满、仪表整洁，上班时穿工作服并佩戴工号牌，体现出专业性和正式性。同时，还须具备良好的沟通技巧，能够礼貌待人，使用文明礼貌用语，对待工作认真负责，有奉献精神，并自觉接受管理人员的检查和监督。</w:t>
      </w:r>
    </w:p>
    <w:p w14:paraId="38FD4AC6">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2.2保洁人员的管理制度与作业规范</w:t>
      </w:r>
    </w:p>
    <w:p w14:paraId="0AE2EC4F">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保洁人员的管理制度与作业规范是确保文明作业的前提，保洁人员在工作中需要严格遵守公司的规章制度，保持热情主动的服务态度，认真接受业主或居民的评价，耐心听取并记录处理投诉。在工作过程中，要注意保持个人的仪容仪表，树立良好形象，爱岗敬业，听从上级领导的指挥，并在规定时间内保质保量完成工作任务。此外，还要遵守考勤制度，按时上下班，不迟到、早退或旷工离岗，工作时间不干私活。</w:t>
      </w:r>
    </w:p>
    <w:p w14:paraId="7C71626C">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2.3道路清扫保洁的精细化管理</w:t>
      </w:r>
    </w:p>
    <w:p w14:paraId="761F055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道路清扫保洁的精细化管理是提升作业效率和安全性的关键，城市管理部门正在推广道路清扫保洁的精细化管理，比如将道路按保洁等级划分为不同级别，并根据等级制定相应的工作标准和时间安排。此外，还包括了对作业人员的安全教育，要求作业人员佩戴工作证和反光工作服，作业时面朝来车方向，遵守交通规则，确保作业安全。</w:t>
      </w:r>
    </w:p>
    <w:p w14:paraId="38153301">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2.4环卫文化的建设和文明风尚的培育</w:t>
      </w:r>
    </w:p>
    <w:p w14:paraId="2B72F47F">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环卫文化的建设和文明风尚的培育是道路保洁文明作业的内在要求，供应商可以开展各类文化活动，来提升从业人员的文化素养和服务意识。同时，通过加强环卫文化的建设，环卫工人能够更好地理解和践行文明作业的理念，从而在日常工作中体现出来，为城市增添更多的文化内涵和美感。</w:t>
      </w:r>
    </w:p>
    <w:p w14:paraId="6CD6C1BA">
      <w:pPr>
        <w:widowControl w:val="0"/>
        <w:numPr>
          <w:ilvl w:val="0"/>
          <w:numId w:val="0"/>
        </w:numPr>
        <w:spacing w:line="360" w:lineRule="auto"/>
        <w:ind w:firstLine="482"/>
        <w:jc w:val="both"/>
        <w:outlineLvl w:val="1"/>
        <w:rPr>
          <w:rFonts w:hint="default" w:ascii="宋体" w:hAnsi="宋体" w:eastAsia="宋体" w:cs="宋体"/>
          <w:b/>
          <w:bCs/>
          <w:color w:val="000000"/>
          <w:sz w:val="24"/>
          <w:szCs w:val="22"/>
          <w:highlight w:val="none"/>
          <w:rtl w:val="0"/>
          <w:lang w:val="en-US" w:eastAsia="zh-CN" w:bidi="ar-SA"/>
        </w:rPr>
      </w:pPr>
      <w:r>
        <w:rPr>
          <w:rFonts w:hint="eastAsia" w:ascii="宋体" w:hAnsi="宋体" w:eastAsia="宋体" w:cs="宋体"/>
          <w:b/>
          <w:bCs/>
          <w:color w:val="000000"/>
          <w:sz w:val="24"/>
          <w:szCs w:val="22"/>
          <w:highlight w:val="none"/>
          <w:rtl w:val="0"/>
          <w:lang w:val="en-US" w:eastAsia="zh-CN" w:bidi="ar-SA"/>
        </w:rPr>
        <w:t>九、进退场交接方案要求</w:t>
      </w:r>
    </w:p>
    <w:p w14:paraId="64395C66">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进退场交接是确保环卫管理和服务连续性的关键环节，需要通过详细的计划、明确的流程和严格的监督来确保交接的顺利进行。进退场交接流程主要包括以下几个方面：</w:t>
      </w:r>
    </w:p>
    <w:p w14:paraId="04787158">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1、沟通协调：与采购人及原单位代表进行充分沟通，了解项目区域的状况。</w:t>
      </w:r>
    </w:p>
    <w:p w14:paraId="1A2BEDD7">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文件资料准备：准备相关的交接文件和资料，如管理合同、项目现有固定设备和设施清单等。</w:t>
      </w:r>
    </w:p>
    <w:p w14:paraId="1CAD1438">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2、会议组织：由采购人主持，明确交接的目的、内容和流程。</w:t>
      </w:r>
    </w:p>
    <w:p w14:paraId="0C5066BD">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工作介绍：退场单位详细介绍工作的情况，包括设备设施的运行状况、维护保养情况、安全管理措施等。</w:t>
      </w:r>
    </w:p>
    <w:p w14:paraId="05338348">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3、问题提出与解决：中标进场单位提出相关问题和要求，退场单位及采购人积极回答并解决。</w:t>
      </w:r>
    </w:p>
    <w:p w14:paraId="0F444FF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4、现场交接</w:t>
      </w:r>
    </w:p>
    <w:p w14:paraId="079943EA">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账号信息交接：交接工作相关账号和信息，确保连续性。</w:t>
      </w:r>
    </w:p>
    <w:p w14:paraId="49E7DC51">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会议讨论：安排和进行最后一次会议和讨论，确保所有事项都已妥善处理。注意事项身份和权限确认：确保进退场交接人员的身份和权限，只有经过授权的人员才能参与交接工作。</w:t>
      </w:r>
    </w:p>
    <w:p w14:paraId="4E59D360">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设施状态检查：检查进退场设施的状态，确保其运行正常并符合卫生安全要求。</w:t>
      </w:r>
    </w:p>
    <w:p w14:paraId="38B4681A">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时间地点安排：提前安排好进退场交接的时间和地点，确保交接顺利进行。</w:t>
      </w:r>
    </w:p>
    <w:p w14:paraId="04D5B192">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详细记录：进退场人员在交接时需要进行详细的记录，包括进退场时间、设施设备数量和质量等信息，以便于监督和追溯。</w:t>
      </w:r>
    </w:p>
    <w:p w14:paraId="42304832">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rtl w:val="0"/>
          <w:lang w:val="en-US" w:eastAsia="zh-CN" w:bidi="ar-SA"/>
        </w:rPr>
      </w:pPr>
      <w:r>
        <w:rPr>
          <w:rFonts w:hint="eastAsia" w:ascii="宋体" w:hAnsi="宋体" w:eastAsia="宋体" w:cs="宋体"/>
          <w:b w:val="0"/>
          <w:bCs w:val="0"/>
          <w:color w:val="000000"/>
          <w:spacing w:val="0"/>
          <w:sz w:val="24"/>
          <w:szCs w:val="24"/>
          <w:highlight w:val="none"/>
          <w:rtl w:val="0"/>
          <w:lang w:val="en-US" w:eastAsia="zh-CN" w:bidi="ar-SA"/>
        </w:rPr>
        <w:t>问题处理：针对交接过程中可能出现的问题，制定相应的处理方案，并及时解决。</w:t>
      </w:r>
    </w:p>
    <w:p w14:paraId="249EA02E">
      <w:pPr>
        <w:keepNext w:val="0"/>
        <w:keepLines w:val="0"/>
        <w:pageBreakBefore w:val="0"/>
        <w:widowControl w:val="0"/>
        <w:spacing w:before="0" w:after="200" w:line="440" w:lineRule="exact"/>
        <w:ind w:left="0" w:right="0" w:firstLine="482"/>
        <w:jc w:val="left"/>
        <w:outlineLvl w:val="1"/>
        <w:rPr>
          <w:rFonts w:hint="eastAsia" w:ascii="宋体" w:hAnsi="宋体" w:eastAsia="宋体" w:cs="宋体"/>
          <w:b/>
          <w:bCs/>
          <w:color w:val="000000"/>
          <w:spacing w:val="0"/>
          <w:sz w:val="24"/>
          <w:szCs w:val="24"/>
          <w:highlight w:val="none"/>
          <w:lang w:val="en-US" w:eastAsia="en-US" w:bidi="ar-SA"/>
        </w:rPr>
      </w:pPr>
      <w:r>
        <w:rPr>
          <w:rFonts w:hint="eastAsia" w:ascii="宋体" w:hAnsi="宋体" w:eastAsia="宋体" w:cs="宋体"/>
          <w:b/>
          <w:bCs/>
          <w:color w:val="000000"/>
          <w:spacing w:val="0"/>
          <w:sz w:val="24"/>
          <w:szCs w:val="24"/>
          <w:highlight w:val="none"/>
          <w:lang w:val="en-US" w:eastAsia="zh-CN" w:bidi="ar-SA"/>
        </w:rPr>
        <w:t>十、台账、投诉、指令性任务完成</w:t>
      </w:r>
      <w:bookmarkEnd w:id="92"/>
      <w:bookmarkEnd w:id="93"/>
    </w:p>
    <w:p w14:paraId="0ECD3EF7">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1、管理、考核资料齐全，每星期有相应的考核巡查记录。</w:t>
      </w:r>
    </w:p>
    <w:p w14:paraId="3C377208">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2、遇群众投诉、媒体曝光的，及时处理、落实整改。</w:t>
      </w:r>
    </w:p>
    <w:p w14:paraId="2697ECE7">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3、指令性任务，督促的问题必须按标准及时完成。</w:t>
      </w:r>
    </w:p>
    <w:p w14:paraId="29AEF80D">
      <w:pPr>
        <w:spacing w:line="400" w:lineRule="exact"/>
        <w:ind w:firstLine="480" w:firstLineChars="200"/>
        <w:rPr>
          <w:rFonts w:hint="eastAsia" w:ascii="宋体" w:hAnsi="宋体"/>
          <w:color w:val="auto"/>
          <w:sz w:val="24"/>
          <w:szCs w:val="24"/>
          <w:highlight w:val="none"/>
        </w:rPr>
      </w:pPr>
    </w:p>
    <w:p w14:paraId="606ED7C2">
      <w:pPr>
        <w:spacing w:line="400" w:lineRule="exact"/>
        <w:ind w:firstLine="480" w:firstLineChars="200"/>
        <w:rPr>
          <w:rFonts w:hint="eastAsia" w:ascii="宋体" w:hAnsi="宋体"/>
          <w:color w:val="auto"/>
          <w:sz w:val="24"/>
          <w:szCs w:val="24"/>
          <w:highlight w:val="none"/>
        </w:rPr>
      </w:pPr>
    </w:p>
    <w:p w14:paraId="27821B93">
      <w:pPr>
        <w:spacing w:line="400" w:lineRule="exact"/>
        <w:ind w:firstLine="480" w:firstLineChars="200"/>
        <w:rPr>
          <w:rFonts w:hint="eastAsia" w:ascii="宋体" w:hAnsi="宋体"/>
          <w:color w:val="auto"/>
          <w:sz w:val="24"/>
          <w:szCs w:val="24"/>
          <w:highlight w:val="none"/>
        </w:rPr>
      </w:pPr>
    </w:p>
    <w:p w14:paraId="57CE9F47">
      <w:pPr>
        <w:spacing w:line="400" w:lineRule="exact"/>
        <w:ind w:firstLine="480" w:firstLineChars="200"/>
        <w:rPr>
          <w:rFonts w:hint="eastAsia" w:ascii="宋体" w:hAnsi="宋体"/>
          <w:color w:val="auto"/>
          <w:sz w:val="24"/>
          <w:szCs w:val="24"/>
          <w:highlight w:val="none"/>
        </w:rPr>
      </w:pPr>
    </w:p>
    <w:p w14:paraId="0F435CB9">
      <w:pPr>
        <w:spacing w:line="400" w:lineRule="exact"/>
        <w:ind w:firstLine="480" w:firstLineChars="200"/>
        <w:rPr>
          <w:rFonts w:hint="eastAsia" w:ascii="宋体" w:hAnsi="宋体"/>
          <w:color w:val="auto"/>
          <w:sz w:val="24"/>
          <w:szCs w:val="24"/>
          <w:highlight w:val="none"/>
        </w:rPr>
      </w:pPr>
    </w:p>
    <w:p w14:paraId="530F6A5C">
      <w:pPr>
        <w:spacing w:line="400" w:lineRule="exact"/>
        <w:ind w:firstLine="480" w:firstLineChars="200"/>
        <w:rPr>
          <w:rFonts w:hint="eastAsia" w:ascii="宋体" w:hAnsi="宋体"/>
          <w:color w:val="auto"/>
          <w:sz w:val="24"/>
          <w:szCs w:val="24"/>
          <w:highlight w:val="none"/>
        </w:rPr>
      </w:pPr>
    </w:p>
    <w:p w14:paraId="15B9F3DE">
      <w:pPr>
        <w:spacing w:line="400" w:lineRule="exact"/>
        <w:ind w:firstLine="480" w:firstLineChars="200"/>
        <w:rPr>
          <w:rFonts w:hint="eastAsia" w:ascii="宋体" w:hAnsi="宋体"/>
          <w:color w:val="auto"/>
          <w:sz w:val="24"/>
          <w:szCs w:val="24"/>
          <w:highlight w:val="none"/>
        </w:rPr>
      </w:pPr>
    </w:p>
    <w:p w14:paraId="75E6B329">
      <w:pPr>
        <w:spacing w:line="400" w:lineRule="exact"/>
        <w:ind w:firstLine="480" w:firstLineChars="200"/>
        <w:rPr>
          <w:rFonts w:hint="eastAsia" w:ascii="宋体" w:hAnsi="宋体"/>
          <w:color w:val="auto"/>
          <w:sz w:val="24"/>
          <w:szCs w:val="24"/>
          <w:highlight w:val="none"/>
        </w:rPr>
      </w:pPr>
    </w:p>
    <w:p w14:paraId="36E9CE24">
      <w:pPr>
        <w:spacing w:line="400" w:lineRule="exact"/>
        <w:ind w:firstLine="480" w:firstLineChars="200"/>
        <w:rPr>
          <w:rFonts w:hint="eastAsia" w:ascii="宋体" w:hAnsi="宋体"/>
          <w:color w:val="auto"/>
          <w:sz w:val="24"/>
          <w:szCs w:val="24"/>
          <w:highlight w:val="none"/>
        </w:rPr>
      </w:pPr>
    </w:p>
    <w:p w14:paraId="1270EFC3">
      <w:pPr>
        <w:spacing w:line="400" w:lineRule="exact"/>
        <w:ind w:firstLine="480" w:firstLineChars="200"/>
        <w:rPr>
          <w:rFonts w:hint="eastAsia" w:ascii="宋体" w:hAnsi="宋体"/>
          <w:color w:val="auto"/>
          <w:sz w:val="24"/>
          <w:szCs w:val="24"/>
          <w:highlight w:val="none"/>
        </w:rPr>
      </w:pPr>
    </w:p>
    <w:p w14:paraId="2F2EB4F0">
      <w:pPr>
        <w:spacing w:line="400" w:lineRule="exact"/>
        <w:rPr>
          <w:color w:val="auto"/>
          <w:highlight w:val="none"/>
        </w:rPr>
      </w:pPr>
      <w:r>
        <w:rPr>
          <w:rFonts w:hint="eastAsia"/>
          <w:color w:val="auto"/>
          <w:highlight w:val="none"/>
        </w:rPr>
        <w:br w:type="page"/>
      </w:r>
    </w:p>
    <w:p w14:paraId="2DE02957">
      <w:pPr>
        <w:spacing w:line="500" w:lineRule="exact"/>
        <w:jc w:val="center"/>
        <w:outlineLvl w:val="0"/>
        <w:rPr>
          <w:rFonts w:ascii="Times New Roman" w:hAnsi="Times New Roman"/>
          <w:b/>
          <w:color w:val="auto"/>
          <w:sz w:val="44"/>
          <w:szCs w:val="44"/>
          <w:highlight w:val="none"/>
        </w:rPr>
      </w:pPr>
      <w:bookmarkStart w:id="94" w:name="_Toc2833"/>
      <w:r>
        <w:rPr>
          <w:rFonts w:hint="eastAsia" w:ascii="Times New Roman" w:hAnsi="Times New Roman"/>
          <w:b/>
          <w:color w:val="auto"/>
          <w:sz w:val="44"/>
          <w:szCs w:val="44"/>
          <w:highlight w:val="none"/>
        </w:rPr>
        <w:t>第五章  合同</w:t>
      </w:r>
      <w:bookmarkEnd w:id="80"/>
      <w:bookmarkEnd w:id="81"/>
      <w:bookmarkEnd w:id="94"/>
      <w:r>
        <w:rPr>
          <w:rFonts w:hint="eastAsia" w:ascii="Times New Roman" w:hAnsi="Times New Roman"/>
          <w:b/>
          <w:color w:val="auto"/>
          <w:sz w:val="44"/>
          <w:szCs w:val="44"/>
          <w:highlight w:val="none"/>
        </w:rPr>
        <w:t>文本</w:t>
      </w:r>
    </w:p>
    <w:p w14:paraId="7256C5C2">
      <w:pPr>
        <w:widowControl w:val="0"/>
        <w:spacing w:before="221" w:line="360" w:lineRule="auto"/>
        <w:ind w:left="132" w:right="196"/>
        <w:jc w:val="center"/>
        <w:rPr>
          <w:rFonts w:hint="eastAsia" w:ascii="宋体" w:hAnsi="宋体" w:eastAsia="宋体" w:cs="宋体"/>
          <w:b/>
          <w:sz w:val="24"/>
          <w:szCs w:val="24"/>
          <w:highlight w:val="none"/>
          <w:lang w:val="en-US" w:eastAsia="zh-CN" w:bidi="ar-SA"/>
        </w:rPr>
      </w:pPr>
      <w:bookmarkStart w:id="95" w:name="_Toc1657"/>
      <w:r>
        <w:rPr>
          <w:rFonts w:hint="eastAsia" w:ascii="宋体" w:hAnsi="宋体" w:eastAsia="宋体" w:cs="宋体"/>
          <w:b/>
          <w:sz w:val="24"/>
          <w:szCs w:val="24"/>
          <w:highlight w:val="none"/>
          <w:lang w:val="en-US" w:eastAsia="zh-CN" w:bidi="ar-SA"/>
        </w:rPr>
        <w:t>保 洁 服 务 合 同</w:t>
      </w:r>
    </w:p>
    <w:p w14:paraId="37B2285C">
      <w:pPr>
        <w:widowControl w:val="0"/>
        <w:spacing w:line="360" w:lineRule="auto"/>
        <w:rPr>
          <w:rFonts w:hint="eastAsia" w:ascii="宋体" w:hAnsi="宋体" w:eastAsia="宋体" w:cs="宋体"/>
          <w:b/>
          <w:sz w:val="24"/>
          <w:szCs w:val="24"/>
          <w:highlight w:val="none"/>
          <w:lang w:val="en-US" w:eastAsia="zh-CN" w:bidi="ar-SA"/>
        </w:rPr>
      </w:pPr>
    </w:p>
    <w:p w14:paraId="7D197935">
      <w:pPr>
        <w:widowControl w:val="0"/>
        <w:tabs>
          <w:tab w:val="left" w:pos="6632"/>
        </w:tabs>
        <w:spacing w:before="182" w:line="360" w:lineRule="auto"/>
        <w:ind w:left="168"/>
        <w:rPr>
          <w:rFonts w:hint="eastAsia" w:ascii="宋体" w:hAnsi="宋体" w:eastAsia="宋体" w:cs="宋体"/>
          <w:b/>
          <w:spacing w:val="1"/>
          <w:sz w:val="24"/>
          <w:szCs w:val="24"/>
          <w:highlight w:val="none"/>
          <w:lang w:val="en-US" w:eastAsia="zh-CN" w:bidi="ar-SA"/>
        </w:rPr>
      </w:pPr>
      <w:r>
        <w:rPr>
          <w:rFonts w:hint="eastAsia" w:ascii="宋体" w:hAnsi="宋体" w:eastAsia="宋体" w:cs="宋体"/>
          <w:b/>
          <w:spacing w:val="1"/>
          <w:sz w:val="24"/>
          <w:szCs w:val="24"/>
          <w:highlight w:val="none"/>
          <w:lang w:val="en-US" w:eastAsia="zh-CN" w:bidi="ar-SA"/>
        </w:rPr>
        <w:t>委托方</w:t>
      </w:r>
      <w:r>
        <w:rPr>
          <w:rFonts w:hint="eastAsia" w:ascii="宋体" w:hAnsi="宋体" w:eastAsia="宋体" w:cs="宋体"/>
          <w:b/>
          <w:spacing w:val="-1"/>
          <w:sz w:val="24"/>
          <w:szCs w:val="24"/>
          <w:highlight w:val="none"/>
          <w:lang w:val="en-US" w:eastAsia="zh-CN" w:bidi="ar-SA"/>
        </w:rPr>
        <w:t>（</w:t>
      </w:r>
      <w:r>
        <w:rPr>
          <w:rFonts w:hint="eastAsia" w:ascii="宋体" w:hAnsi="宋体" w:eastAsia="宋体" w:cs="宋体"/>
          <w:b/>
          <w:spacing w:val="1"/>
          <w:sz w:val="24"/>
          <w:szCs w:val="24"/>
          <w:highlight w:val="none"/>
          <w:lang w:val="en-US" w:eastAsia="zh-CN" w:bidi="ar-SA"/>
        </w:rPr>
        <w:t>以下简称甲</w:t>
      </w:r>
      <w:r>
        <w:rPr>
          <w:rFonts w:hint="eastAsia" w:ascii="宋体" w:hAnsi="宋体" w:eastAsia="宋体" w:cs="宋体"/>
          <w:b/>
          <w:spacing w:val="-1"/>
          <w:sz w:val="24"/>
          <w:szCs w:val="24"/>
          <w:highlight w:val="none"/>
          <w:lang w:val="en-US" w:eastAsia="zh-CN" w:bidi="ar-SA"/>
        </w:rPr>
        <w:t>方</w:t>
      </w:r>
      <w:r>
        <w:rPr>
          <w:rFonts w:hint="eastAsia" w:ascii="宋体" w:hAnsi="宋体" w:eastAsia="宋体" w:cs="宋体"/>
          <w:b/>
          <w:spacing w:val="-104"/>
          <w:sz w:val="24"/>
          <w:szCs w:val="24"/>
          <w:highlight w:val="none"/>
          <w:lang w:val="en-US" w:eastAsia="zh-CN" w:bidi="ar-SA"/>
        </w:rPr>
        <w:t>）</w:t>
      </w:r>
      <w:r>
        <w:rPr>
          <w:rFonts w:hint="eastAsia" w:ascii="宋体" w:hAnsi="宋体" w:eastAsia="宋体" w:cs="宋体"/>
          <w:b/>
          <w:sz w:val="24"/>
          <w:szCs w:val="24"/>
          <w:highlight w:val="none"/>
          <w:lang w:val="en-US" w:eastAsia="zh-CN" w:bidi="ar-SA"/>
        </w:rPr>
        <w:t>：</w:t>
      </w:r>
      <w:r>
        <w:rPr>
          <w:rFonts w:hint="eastAsia" w:ascii="宋体" w:hAnsi="宋体" w:eastAsia="宋体" w:cs="宋体"/>
          <w:b/>
          <w:sz w:val="24"/>
          <w:szCs w:val="24"/>
          <w:highlight w:val="none"/>
          <w:u w:val="single"/>
          <w:lang w:val="en-US" w:eastAsia="zh-CN" w:bidi="ar-SA"/>
        </w:rPr>
        <w:t xml:space="preserve"> </w:t>
      </w:r>
      <w:r>
        <w:rPr>
          <w:rFonts w:hint="eastAsia" w:ascii="宋体" w:hAnsi="宋体" w:eastAsia="宋体" w:cs="宋体"/>
          <w:b/>
          <w:sz w:val="24"/>
          <w:szCs w:val="24"/>
          <w:highlight w:val="none"/>
          <w:u w:val="single"/>
          <w:lang w:val="en-US" w:eastAsia="zh-CN" w:bidi="ar-SA"/>
        </w:rPr>
        <w:tab/>
      </w:r>
    </w:p>
    <w:p w14:paraId="2ED72BF7">
      <w:pPr>
        <w:widowControl w:val="0"/>
        <w:tabs>
          <w:tab w:val="left" w:pos="6635"/>
        </w:tabs>
        <w:spacing w:line="360" w:lineRule="auto"/>
        <w:ind w:left="168"/>
        <w:rPr>
          <w:rFonts w:hint="eastAsia" w:ascii="宋体" w:hAnsi="宋体" w:eastAsia="宋体" w:cs="宋体"/>
          <w:b/>
          <w:sz w:val="24"/>
          <w:szCs w:val="24"/>
          <w:highlight w:val="none"/>
          <w:u w:val="single"/>
          <w:lang w:val="en-US" w:eastAsia="zh-CN" w:bidi="ar-SA"/>
        </w:rPr>
      </w:pPr>
      <w:r>
        <w:rPr>
          <w:rFonts w:hint="eastAsia" w:ascii="宋体" w:hAnsi="宋体" w:eastAsia="宋体" w:cs="宋体"/>
          <w:b/>
          <w:spacing w:val="1"/>
          <w:sz w:val="24"/>
          <w:szCs w:val="24"/>
          <w:highlight w:val="none"/>
          <w:lang w:val="en-US" w:eastAsia="zh-CN" w:bidi="ar-SA"/>
        </w:rPr>
        <w:t>服务单</w:t>
      </w:r>
      <w:r>
        <w:rPr>
          <w:rFonts w:hint="eastAsia" w:ascii="宋体" w:hAnsi="宋体" w:eastAsia="宋体" w:cs="宋体"/>
          <w:b/>
          <w:spacing w:val="-1"/>
          <w:sz w:val="24"/>
          <w:szCs w:val="24"/>
          <w:highlight w:val="none"/>
          <w:lang w:val="en-US" w:eastAsia="zh-CN" w:bidi="ar-SA"/>
        </w:rPr>
        <w:t>位</w:t>
      </w:r>
      <w:r>
        <w:rPr>
          <w:rFonts w:hint="eastAsia" w:ascii="宋体" w:hAnsi="宋体" w:eastAsia="宋体" w:cs="宋体"/>
          <w:b/>
          <w:spacing w:val="1"/>
          <w:sz w:val="24"/>
          <w:szCs w:val="24"/>
          <w:highlight w:val="none"/>
          <w:lang w:val="en-US" w:eastAsia="zh-CN" w:bidi="ar-SA"/>
        </w:rPr>
        <w:t>（以下简称</w:t>
      </w:r>
      <w:r>
        <w:rPr>
          <w:rFonts w:hint="eastAsia" w:ascii="宋体" w:hAnsi="宋体" w:eastAsia="宋体" w:cs="宋体"/>
          <w:b/>
          <w:spacing w:val="-1"/>
          <w:sz w:val="24"/>
          <w:szCs w:val="24"/>
          <w:highlight w:val="none"/>
          <w:lang w:val="en-US" w:eastAsia="zh-CN" w:bidi="ar-SA"/>
        </w:rPr>
        <w:t>乙</w:t>
      </w:r>
      <w:r>
        <w:rPr>
          <w:rFonts w:hint="eastAsia" w:ascii="宋体" w:hAnsi="宋体" w:eastAsia="宋体" w:cs="宋体"/>
          <w:b/>
          <w:spacing w:val="1"/>
          <w:sz w:val="24"/>
          <w:szCs w:val="24"/>
          <w:highlight w:val="none"/>
          <w:lang w:val="en-US" w:eastAsia="zh-CN" w:bidi="ar-SA"/>
        </w:rPr>
        <w:t>方</w:t>
      </w:r>
      <w:r>
        <w:rPr>
          <w:rFonts w:hint="eastAsia" w:ascii="宋体" w:hAnsi="宋体" w:eastAsia="宋体" w:cs="宋体"/>
          <w:b/>
          <w:spacing w:val="-104"/>
          <w:sz w:val="24"/>
          <w:szCs w:val="24"/>
          <w:highlight w:val="none"/>
          <w:lang w:val="en-US" w:eastAsia="zh-CN" w:bidi="ar-SA"/>
        </w:rPr>
        <w:t>）</w:t>
      </w:r>
      <w:r>
        <w:rPr>
          <w:rFonts w:hint="eastAsia" w:ascii="宋体" w:hAnsi="宋体" w:eastAsia="宋体" w:cs="宋体"/>
          <w:b/>
          <w:spacing w:val="1"/>
          <w:sz w:val="24"/>
          <w:szCs w:val="24"/>
          <w:highlight w:val="none"/>
          <w:lang w:val="en-US" w:eastAsia="zh-CN" w:bidi="ar-SA"/>
        </w:rPr>
        <w:t>：</w:t>
      </w:r>
      <w:r>
        <w:rPr>
          <w:rFonts w:hint="eastAsia" w:ascii="宋体" w:hAnsi="宋体" w:eastAsia="宋体" w:cs="宋体"/>
          <w:b/>
          <w:sz w:val="24"/>
          <w:szCs w:val="24"/>
          <w:highlight w:val="none"/>
          <w:u w:val="single"/>
          <w:lang w:val="en-US" w:eastAsia="zh-CN" w:bidi="ar-SA"/>
        </w:rPr>
        <w:t xml:space="preserve"> </w:t>
      </w:r>
      <w:r>
        <w:rPr>
          <w:rFonts w:hint="eastAsia" w:ascii="宋体" w:hAnsi="宋体" w:eastAsia="宋体" w:cs="宋体"/>
          <w:b/>
          <w:sz w:val="24"/>
          <w:szCs w:val="24"/>
          <w:highlight w:val="none"/>
          <w:u w:val="single"/>
          <w:lang w:val="en-US" w:eastAsia="zh-CN" w:bidi="ar-SA"/>
        </w:rPr>
        <w:tab/>
      </w:r>
    </w:p>
    <w:p w14:paraId="797197D5">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根据《中华人民共和国民典法（第三编合同）》《中华人民共和国劳动法》及</w:t>
      </w:r>
      <w:r>
        <w:rPr>
          <w:rFonts w:hint="eastAsia" w:ascii="Times New Roman" w:hAnsi="Times New Roman" w:eastAsia="宋体" w:cs="宋体"/>
          <w:sz w:val="24"/>
          <w:szCs w:val="24"/>
          <w:highlight w:val="none"/>
          <w:lang w:val="en-US" w:eastAsia="zh-CN" w:bidi="ar-SA"/>
        </w:rPr>
        <w:t>《中华人民共和国政府采购法》等</w:t>
      </w:r>
      <w:r>
        <w:rPr>
          <w:rFonts w:hint="eastAsia" w:ascii="宋体" w:hAnsi="宋体" w:eastAsia="宋体" w:cs="宋体"/>
          <w:sz w:val="24"/>
          <w:szCs w:val="24"/>
          <w:highlight w:val="none"/>
          <w:lang w:val="en-US" w:eastAsia="zh-CN" w:bidi="ar-SA"/>
        </w:rPr>
        <w:t>相关法律法规的规定，甲乙双方遵循平等、自愿、公平、诚实信用的原则，经协商一致，乙方根据甲方要求向甲方派遣保洁人员提供服务事宜达成本合同，以兹共同遵守。</w:t>
      </w:r>
    </w:p>
    <w:p w14:paraId="5338E2B6">
      <w:pPr>
        <w:widowControl w:val="0"/>
        <w:spacing w:line="360" w:lineRule="auto"/>
        <w:ind w:firstLine="482"/>
        <w:rPr>
          <w:rFonts w:hint="eastAsia" w:ascii="宋体" w:hAnsi="宋体" w:eastAsia="宋体" w:cs="宋体"/>
          <w:b/>
          <w:sz w:val="24"/>
          <w:szCs w:val="24"/>
          <w:highlight w:val="none"/>
          <w:lang w:val="en-US" w:eastAsia="en-US" w:bidi="ar-SA"/>
        </w:rPr>
      </w:pPr>
      <w:r>
        <w:rPr>
          <w:rFonts w:hint="eastAsia" w:ascii="宋体" w:hAnsi="宋体" w:eastAsia="宋体" w:cs="宋体"/>
          <w:b/>
          <w:sz w:val="24"/>
          <w:szCs w:val="24"/>
          <w:highlight w:val="none"/>
          <w:lang w:val="en-US" w:eastAsia="zh-CN" w:bidi="ar-SA"/>
        </w:rPr>
        <w:t>第一条 服务形式</w:t>
      </w:r>
    </w:p>
    <w:p w14:paraId="220F605F">
      <w:pPr>
        <w:widowControl w:val="0"/>
        <w:spacing w:line="360" w:lineRule="auto"/>
        <w:ind w:firstLine="480"/>
        <w:rPr>
          <w:rFonts w:hint="eastAsia" w:ascii="宋体" w:hAnsi="宋体" w:eastAsia="宋体" w:cs="宋体"/>
          <w:spacing w:val="-8"/>
          <w:sz w:val="24"/>
          <w:szCs w:val="24"/>
          <w:highlight w:val="none"/>
          <w:lang w:val="en-US" w:eastAsia="en-US" w:bidi="ar-SA"/>
        </w:rPr>
      </w:pPr>
      <w:r>
        <w:rPr>
          <w:rFonts w:hint="eastAsia" w:ascii="宋体" w:hAnsi="宋体" w:eastAsia="宋体" w:cs="宋体"/>
          <w:sz w:val="24"/>
          <w:szCs w:val="24"/>
          <w:highlight w:val="none"/>
          <w:lang w:val="en-US" w:eastAsia="zh-CN" w:bidi="ar-SA"/>
        </w:rPr>
        <w:t>根据甲方需要，乙方负责向甲方提供保洁服务，甲方向乙方支付服务费及本合同约定的其它</w:t>
      </w:r>
      <w:r>
        <w:rPr>
          <w:rFonts w:hint="eastAsia" w:ascii="宋体" w:hAnsi="宋体" w:eastAsia="宋体" w:cs="宋体"/>
          <w:spacing w:val="-8"/>
          <w:sz w:val="24"/>
          <w:szCs w:val="24"/>
          <w:highlight w:val="none"/>
          <w:lang w:val="en-US" w:eastAsia="zh-CN" w:bidi="ar-SA"/>
        </w:rPr>
        <w:t xml:space="preserve">费用，甲方与乙方所派驻的保洁人员之间不具有《中华人民共和国劳动法》规定的劳动关系。 </w:t>
      </w:r>
    </w:p>
    <w:p w14:paraId="157D72F3">
      <w:pPr>
        <w:widowControl w:val="0"/>
        <w:spacing w:line="360" w:lineRule="auto"/>
        <w:ind w:firstLine="482"/>
        <w:rPr>
          <w:rFonts w:hint="eastAsia" w:ascii="宋体" w:hAnsi="宋体" w:eastAsia="宋体" w:cs="宋体"/>
          <w:b/>
          <w:sz w:val="24"/>
          <w:szCs w:val="24"/>
          <w:highlight w:val="none"/>
          <w:lang w:val="en-US" w:eastAsia="en-US" w:bidi="ar-SA"/>
        </w:rPr>
      </w:pPr>
      <w:r>
        <w:rPr>
          <w:rFonts w:hint="eastAsia" w:ascii="宋体" w:hAnsi="宋体" w:eastAsia="宋体" w:cs="宋体"/>
          <w:b/>
          <w:sz w:val="24"/>
          <w:szCs w:val="24"/>
          <w:highlight w:val="none"/>
          <w:lang w:val="en-US" w:eastAsia="zh-CN" w:bidi="ar-SA"/>
        </w:rPr>
        <w:t>第二条 服务内容</w:t>
      </w:r>
    </w:p>
    <w:p w14:paraId="407A4F8F">
      <w:pPr>
        <w:widowControl w:val="0"/>
        <w:tabs>
          <w:tab w:val="left" w:pos="7414"/>
        </w:tabs>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1、根据甲方委托，乙方愿意承接坐落于</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u w:val="single"/>
          <w:lang w:val="en-US" w:eastAsia="zh-CN" w:bidi="ar-SA"/>
        </w:rPr>
        <w:tab/>
      </w:r>
      <w:r>
        <w:rPr>
          <w:rFonts w:hint="eastAsia" w:ascii="宋体" w:hAnsi="宋体" w:eastAsia="宋体" w:cs="宋体"/>
          <w:sz w:val="24"/>
          <w:szCs w:val="24"/>
          <w:highlight w:val="none"/>
          <w:lang w:val="en-US" w:eastAsia="zh-CN" w:bidi="ar-SA"/>
        </w:rPr>
        <w:t>的保洁任务。</w:t>
      </w:r>
    </w:p>
    <w:p w14:paraId="4C760EF2">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2、</w:t>
      </w:r>
      <w:r>
        <w:rPr>
          <w:rFonts w:hint="eastAsia" w:ascii="Times New Roman" w:hAnsi="Times New Roman" w:eastAsia="宋体" w:cs="宋体"/>
          <w:b/>
          <w:sz w:val="24"/>
          <w:szCs w:val="24"/>
          <w:highlight w:val="none"/>
          <w:lang w:val="en-US" w:eastAsia="zh-CN" w:bidi="ar-SA"/>
        </w:rPr>
        <w:t>章集街道</w:t>
      </w:r>
      <w:r>
        <w:rPr>
          <w:rFonts w:hint="eastAsia" w:ascii="宋体" w:hAnsi="宋体" w:eastAsia="宋体" w:cs="宋体"/>
          <w:b/>
          <w:sz w:val="24"/>
          <w:szCs w:val="24"/>
          <w:highlight w:val="none"/>
          <w:lang w:val="en-US" w:eastAsia="zh-CN" w:bidi="ar-SA"/>
        </w:rPr>
        <w:t>保洁外包服务项目作业标准</w:t>
      </w:r>
    </w:p>
    <w:p w14:paraId="57EAA1CE">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（一）道路保洁</w:t>
      </w:r>
    </w:p>
    <w:p w14:paraId="35C7D202">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1、7小时保洁道路清扫保洁时间：早上 7：00—11:00、下午 2：00-5:00。</w:t>
      </w:r>
    </w:p>
    <w:p w14:paraId="41B1A797">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2、道路普扫保持无零星垃圾，无果皮纸屑，侧石无积泥积灰，遇雨天，侧石应无积水。路面不得有明显不洁或漏扫垃圾。集镇区路面每周冲洗三次。</w:t>
      </w:r>
    </w:p>
    <w:p w14:paraId="24DF0F20">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3、未硬化道路、闲置地块（空地）即无垃圾、无卫生死角。</w:t>
      </w:r>
    </w:p>
    <w:p w14:paraId="1E7C577A">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4、道路、街巷、</w:t>
      </w:r>
      <w:r>
        <w:rPr>
          <w:rFonts w:hint="eastAsia" w:ascii="Times New Roman" w:hAnsi="Times New Roman" w:eastAsia="宋体" w:cs="宋体"/>
          <w:sz w:val="24"/>
          <w:szCs w:val="24"/>
          <w:highlight w:val="none"/>
          <w:lang w:val="en-US" w:eastAsia="zh-CN" w:bidi="ar-SA"/>
        </w:rPr>
        <w:t>路</w:t>
      </w:r>
      <w:r>
        <w:rPr>
          <w:rFonts w:hint="eastAsia" w:ascii="宋体" w:hAnsi="宋体" w:eastAsia="宋体" w:cs="宋体"/>
          <w:sz w:val="24"/>
          <w:szCs w:val="24"/>
          <w:highlight w:val="none"/>
          <w:lang w:val="en-US" w:eastAsia="zh-CN" w:bidi="ar-SA"/>
        </w:rPr>
        <w:t>边沟内无污泥、垃圾、杂草。</w:t>
      </w:r>
    </w:p>
    <w:p w14:paraId="494995EA">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5、加强道路清扫保洁或巡回保洁的力度，无脱岗偷懒现象，路面无零星垃圾、杂物。</w:t>
      </w:r>
    </w:p>
    <w:p w14:paraId="101CCAE7">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6、严格遵守劳动纪律，准时上下班，不脱岗、不迟到、早退、偷懒、捡垃圾，工作时间不聚众闲谈。作业时，应穿反光背心。</w:t>
      </w:r>
    </w:p>
    <w:p w14:paraId="21007059">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7、文明作业，优质服务，清扫作业时注意不将垃圾、污水溅到行人身上，不将垃圾扫入或倒入窨井、河道、绿化带。</w:t>
      </w:r>
    </w:p>
    <w:p w14:paraId="785E5DFB">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8</w:t>
      </w:r>
      <w:r>
        <w:rPr>
          <w:rFonts w:hint="eastAsia" w:ascii="Times New Roman" w:hAnsi="Times New Roman" w:eastAsia="宋体" w:cs="宋体"/>
          <w:sz w:val="24"/>
          <w:szCs w:val="24"/>
          <w:highlight w:val="none"/>
          <w:lang w:val="en-US" w:eastAsia="zh-CN" w:bidi="ar-SA"/>
        </w:rPr>
        <w:t>、</w:t>
      </w:r>
      <w:r>
        <w:rPr>
          <w:rFonts w:hint="eastAsia" w:ascii="宋体" w:hAnsi="宋体" w:eastAsia="宋体" w:cs="宋体"/>
          <w:sz w:val="24"/>
          <w:szCs w:val="24"/>
          <w:highlight w:val="none"/>
          <w:lang w:val="en-US" w:eastAsia="zh-CN" w:bidi="ar-SA"/>
        </w:rPr>
        <w:t>农村自然村庄主路两边清扫，白色垃圾的收集清理工作。</w:t>
      </w:r>
    </w:p>
    <w:p w14:paraId="2DF9FA8C">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（二）垃圾桶保洁</w:t>
      </w:r>
    </w:p>
    <w:p w14:paraId="5D48F924">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1、要求在早上 8 点前作业完成，按日产日清要求收集垃圾，不得漏点和任意撤点，桶内无沉积垃圾。</w:t>
      </w:r>
    </w:p>
    <w:p w14:paraId="038A48DF">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2、垃圾桶不得满溢，垃圾量多时应及时清运。</w:t>
      </w:r>
    </w:p>
    <w:p w14:paraId="48BC1B01">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3、桶周围必须打扫干净，不得有建筑垃圾，不得焚烧垃圾。</w:t>
      </w:r>
    </w:p>
    <w:p w14:paraId="224E3D20">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4、垃圾桶、底座配备人员必须每日至少 1 次清洗，保持清洁、完整，桶破损应及时进行更换。</w:t>
      </w:r>
    </w:p>
    <w:p w14:paraId="27296200">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5、垃圾桶清运保洁人员作业时必须统一着装，并设有专职的垃圾清运人员。</w:t>
      </w:r>
    </w:p>
    <w:p w14:paraId="47E75163">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6、蚊蝇季节垃圾桶周围必须每日消杀灭蝇。</w:t>
      </w:r>
    </w:p>
    <w:p w14:paraId="2F5E9F37">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（三）绿化、水体保洁</w:t>
      </w:r>
    </w:p>
    <w:p w14:paraId="69358756">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绿化区域的养护，根据季节的变化进行打药、浇水、修剪、施肥等工作。  水体两侧绿化带废弃物、白色垃圾处理等。</w:t>
      </w:r>
    </w:p>
    <w:p w14:paraId="53E78994">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（四）公共空间的维护</w:t>
      </w:r>
    </w:p>
    <w:p w14:paraId="65099E80">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集镇区：街道沿街垃圾桶，每日清洗至少一次，保持垃圾桶的清洁卫生，垃圾及时清运，不得满溢和任意撤点、漏点，垃圾桶破损应及时更换。摆放杂物（如陈年老旧沙发、自行车、桌椅板凳等）；占道经营；零售商贩等发生的类似情况首先告知业主或占有方，传播公共空间的维护意义，并告知居委会及城市管理部门进行跟进。</w:t>
      </w:r>
    </w:p>
    <w:p w14:paraId="2946F47C">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2、农村自然村庄：各村庄垃圾桶投放，不得漏点和任意撤点，破损垃圾桶应及时更换，定期清洁</w:t>
      </w:r>
      <w:r>
        <w:rPr>
          <w:rFonts w:hint="eastAsia" w:ascii="Times New Roman" w:hAnsi="Times New Roman" w:eastAsia="宋体" w:cs="宋体"/>
          <w:sz w:val="24"/>
          <w:szCs w:val="24"/>
          <w:highlight w:val="none"/>
          <w:lang w:val="en-US" w:eastAsia="zh-CN" w:bidi="ar-SA"/>
        </w:rPr>
        <w:t>。</w:t>
      </w:r>
      <w:r>
        <w:rPr>
          <w:rFonts w:hint="eastAsia" w:ascii="宋体" w:hAnsi="宋体" w:eastAsia="宋体" w:cs="宋体"/>
          <w:sz w:val="24"/>
          <w:szCs w:val="24"/>
          <w:highlight w:val="none"/>
          <w:lang w:val="en-US" w:eastAsia="zh-CN" w:bidi="ar-SA"/>
        </w:rPr>
        <w:t>垃圾桶不得满溢，垃圾及时清运。秸秆等物品首先要进行告知业主并与居委会联系，配合居委会进行劝阻。</w:t>
      </w:r>
    </w:p>
    <w:p w14:paraId="074E3A50">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3、在原有的基础上业主私自进行自拆自建或改变结构等类似情况，了解清楚并上报居委会并配合一定的协助工作。</w:t>
      </w:r>
    </w:p>
    <w:p w14:paraId="0EF34B27">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4、集镇区的护栏、广告牌、道牌、停车场、经营户门前保洁、小广告、乱堆乱放等，需第一时间清理保洁到位，并通知城管队及相关村居给予支持配合。</w:t>
      </w:r>
    </w:p>
    <w:p w14:paraId="03FEE608">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（五） 突发事件应急情况处理</w:t>
      </w:r>
    </w:p>
    <w:p w14:paraId="0B9F271E">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1、重大活动安全应急预案如文明城市创建、观摩等重大接待，在原有的人员基础上中标单位必须提供人员调配、机械设备支援保障活动正常开展。</w:t>
      </w:r>
    </w:p>
    <w:p w14:paraId="752F4E3A">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2、自然、环保应急预案如雨雪天气为保障扫雪铲冰工作，保障人民群众在冬季降雪期间的行车和 出行安全，扫雪铲冰工作实行辖区管理，分级负责，分片包干，落实责任制的原则，并以义务清扫为主，结合项目实际，制定扫雪除冰等应急预案。</w:t>
      </w:r>
    </w:p>
    <w:p w14:paraId="46080F2D">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（六） 台账、投诉、指令性任务完成</w:t>
      </w:r>
    </w:p>
    <w:p w14:paraId="3CCB0312">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1、管理、考核资料齐全，每星期有相应的考核巡查记录。</w:t>
      </w:r>
    </w:p>
    <w:p w14:paraId="078D59FB">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2、遇群众投诉、媒体曝光的，及时处理、落实整改。</w:t>
      </w:r>
    </w:p>
    <w:p w14:paraId="173544FD">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3、指令性任务，督促的问题必须按标准及时完成。 </w:t>
      </w:r>
    </w:p>
    <w:p w14:paraId="73DD2B17">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第三条 合同期限</w:t>
      </w:r>
    </w:p>
    <w:p w14:paraId="0C83A4F3">
      <w:pPr>
        <w:widowControl w:val="0"/>
        <w:tabs>
          <w:tab w:val="left" w:pos="2482"/>
          <w:tab w:val="left" w:pos="3850"/>
          <w:tab w:val="left" w:pos="4589"/>
          <w:tab w:val="left" w:pos="5326"/>
          <w:tab w:val="left" w:pos="6483"/>
          <w:tab w:val="left" w:pos="7273"/>
          <w:tab w:val="left" w:pos="8115"/>
        </w:tabs>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本合同期限为</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u w:val="single"/>
          <w:lang w:val="en-US" w:eastAsia="zh-CN" w:bidi="ar-SA"/>
        </w:rPr>
        <w:tab/>
      </w:r>
      <w:r>
        <w:rPr>
          <w:rFonts w:hint="eastAsia" w:ascii="宋体" w:hAnsi="宋体" w:eastAsia="宋体" w:cs="宋体"/>
          <w:sz w:val="24"/>
          <w:szCs w:val="24"/>
          <w:highlight w:val="none"/>
          <w:lang w:val="en-US" w:eastAsia="zh-CN" w:bidi="ar-SA"/>
        </w:rPr>
        <w:t>个月。自</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u w:val="single"/>
          <w:lang w:val="en-US" w:eastAsia="zh-CN" w:bidi="ar-SA"/>
        </w:rPr>
        <w:tab/>
      </w:r>
      <w:r>
        <w:rPr>
          <w:rFonts w:hint="eastAsia" w:ascii="宋体" w:hAnsi="宋体" w:eastAsia="宋体" w:cs="宋体"/>
          <w:sz w:val="24"/>
          <w:szCs w:val="24"/>
          <w:highlight w:val="none"/>
          <w:lang w:val="en-US" w:eastAsia="zh-CN" w:bidi="ar-SA"/>
        </w:rPr>
        <w:t>年</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u w:val="single"/>
          <w:lang w:val="en-US" w:eastAsia="zh-CN" w:bidi="ar-SA"/>
        </w:rPr>
        <w:tab/>
      </w:r>
      <w:r>
        <w:rPr>
          <w:rFonts w:hint="eastAsia" w:ascii="宋体" w:hAnsi="宋体" w:eastAsia="宋体" w:cs="宋体"/>
          <w:sz w:val="24"/>
          <w:szCs w:val="24"/>
          <w:highlight w:val="none"/>
          <w:lang w:val="en-US" w:eastAsia="zh-CN" w:bidi="ar-SA"/>
        </w:rPr>
        <w:t>月</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u w:val="single"/>
          <w:lang w:val="en-US" w:eastAsia="zh-CN" w:bidi="ar-SA"/>
        </w:rPr>
        <w:tab/>
      </w:r>
      <w:r>
        <w:rPr>
          <w:rFonts w:hint="eastAsia" w:ascii="宋体" w:hAnsi="宋体" w:eastAsia="宋体" w:cs="宋体"/>
          <w:sz w:val="24"/>
          <w:szCs w:val="24"/>
          <w:highlight w:val="none"/>
          <w:lang w:val="en-US" w:eastAsia="zh-CN" w:bidi="ar-SA"/>
        </w:rPr>
        <w:t>日起至</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u w:val="single"/>
          <w:lang w:val="en-US" w:eastAsia="zh-CN" w:bidi="ar-SA"/>
        </w:rPr>
        <w:tab/>
      </w:r>
      <w:r>
        <w:rPr>
          <w:rFonts w:hint="eastAsia" w:ascii="宋体" w:hAnsi="宋体" w:eastAsia="宋体" w:cs="宋体"/>
          <w:sz w:val="24"/>
          <w:szCs w:val="24"/>
          <w:highlight w:val="none"/>
          <w:lang w:val="en-US" w:eastAsia="zh-CN" w:bidi="ar-SA"/>
        </w:rPr>
        <w:t>年</w:t>
      </w:r>
      <w:r>
        <w:rPr>
          <w:rFonts w:hint="eastAsia" w:ascii="宋体" w:hAnsi="宋体" w:eastAsia="宋体" w:cs="宋体"/>
          <w:sz w:val="24"/>
          <w:szCs w:val="24"/>
          <w:highlight w:val="none"/>
          <w:u w:val="single"/>
          <w:lang w:val="en-US" w:eastAsia="zh-CN" w:bidi="ar-SA"/>
        </w:rPr>
        <w:tab/>
      </w:r>
      <w:r>
        <w:rPr>
          <w:rFonts w:hint="eastAsia" w:ascii="宋体" w:hAnsi="宋体" w:eastAsia="宋体" w:cs="宋体"/>
          <w:sz w:val="24"/>
          <w:szCs w:val="24"/>
          <w:highlight w:val="none"/>
          <w:lang w:val="en-US" w:eastAsia="zh-CN" w:bidi="ar-SA"/>
        </w:rPr>
        <w:t>月</w:t>
      </w:r>
      <w:r>
        <w:rPr>
          <w:rFonts w:hint="eastAsia" w:ascii="宋体" w:hAnsi="宋体" w:eastAsia="宋体" w:cs="宋体"/>
          <w:sz w:val="24"/>
          <w:szCs w:val="24"/>
          <w:highlight w:val="none"/>
          <w:u w:val="single"/>
          <w:lang w:val="en-US" w:eastAsia="zh-CN" w:bidi="ar-SA"/>
        </w:rPr>
        <w:tab/>
      </w:r>
      <w:r>
        <w:rPr>
          <w:rFonts w:hint="eastAsia" w:ascii="宋体" w:hAnsi="宋体" w:eastAsia="宋体" w:cs="宋体"/>
          <w:sz w:val="24"/>
          <w:szCs w:val="24"/>
          <w:highlight w:val="none"/>
          <w:lang w:val="en-US" w:eastAsia="zh-CN" w:bidi="ar-SA"/>
        </w:rPr>
        <w:t>日止。服务期满后，如双方均未提出异议，服务期顺延。</w:t>
      </w:r>
    </w:p>
    <w:p w14:paraId="6E4FB42E">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第四条 服务酬金</w:t>
      </w:r>
    </w:p>
    <w:p w14:paraId="09124B1B">
      <w:pPr>
        <w:widowControl w:val="0"/>
        <w:tabs>
          <w:tab w:val="left" w:pos="3125"/>
        </w:tabs>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保洁服务费共计</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u w:val="single"/>
          <w:lang w:val="en-US" w:eastAsia="zh-CN" w:bidi="ar-SA"/>
        </w:rPr>
        <w:tab/>
      </w:r>
      <w:r>
        <w:rPr>
          <w:rFonts w:hint="eastAsia" w:ascii="宋体" w:hAnsi="宋体" w:eastAsia="宋体" w:cs="宋体"/>
          <w:sz w:val="24"/>
          <w:szCs w:val="24"/>
          <w:highlight w:val="none"/>
          <w:lang w:val="en-US" w:eastAsia="zh-CN" w:bidi="ar-SA"/>
        </w:rPr>
        <w:t>元/月</w:t>
      </w:r>
      <w:r>
        <w:rPr>
          <w:rFonts w:hint="eastAsia" w:ascii="Times New Roman" w:hAnsi="Times New Roman" w:eastAsia="宋体" w:cs="宋体"/>
          <w:sz w:val="24"/>
          <w:szCs w:val="24"/>
          <w:highlight w:val="none"/>
          <w:lang w:val="en-US" w:eastAsia="zh-CN" w:bidi="ar-SA"/>
        </w:rPr>
        <w:t>，</w:t>
      </w:r>
      <w:r>
        <w:rPr>
          <w:rFonts w:hint="eastAsia" w:ascii="宋体" w:hAnsi="宋体" w:eastAsia="宋体" w:cs="宋体"/>
          <w:sz w:val="24"/>
          <w:szCs w:val="24"/>
          <w:highlight w:val="none"/>
          <w:lang w:val="en-US" w:eastAsia="zh-CN" w:bidi="ar-SA"/>
        </w:rPr>
        <w:t>具体保洁人员的工资报酬分配由乙方负责，与甲方无关，甲方不负责具体每个保洁人员的工资报酬发放问题。</w:t>
      </w:r>
    </w:p>
    <w:p w14:paraId="58DAC6DA">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第五条 付款时间及方式</w:t>
      </w:r>
    </w:p>
    <w:p w14:paraId="3C6E878E">
      <w:pPr>
        <w:widowControl w:val="0"/>
        <w:tabs>
          <w:tab w:val="left" w:pos="3125"/>
        </w:tabs>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预付款：合同金额的10%，合同签订后按规定支付；</w:t>
      </w:r>
    </w:p>
    <w:p w14:paraId="0B273054">
      <w:pPr>
        <w:widowControl w:val="0"/>
        <w:tabs>
          <w:tab w:val="left" w:pos="3125"/>
        </w:tabs>
        <w:spacing w:line="360" w:lineRule="auto"/>
        <w:ind w:firstLine="480"/>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zh-CN" w:bidi="ar-SA"/>
        </w:rPr>
        <w:t>进度款：</w:t>
      </w:r>
      <w:r>
        <w:rPr>
          <w:rFonts w:hint="eastAsia" w:ascii="宋体" w:hAnsi="宋体" w:eastAsia="宋体" w:cs="宋体"/>
          <w:sz w:val="24"/>
          <w:szCs w:val="24"/>
          <w:highlight w:val="none"/>
          <w:lang w:val="en-US" w:eastAsia="en-US" w:bidi="ar-SA"/>
        </w:rPr>
        <w:t>采购单位按每</w:t>
      </w:r>
      <w:r>
        <w:rPr>
          <w:rFonts w:hint="eastAsia" w:ascii="宋体" w:hAnsi="宋体" w:eastAsia="宋体" w:cs="宋体"/>
          <w:sz w:val="24"/>
          <w:szCs w:val="24"/>
          <w:highlight w:val="none"/>
          <w:lang w:val="en-US" w:eastAsia="zh-CN" w:bidi="ar-SA"/>
        </w:rPr>
        <w:t>季度</w:t>
      </w:r>
      <w:r>
        <w:rPr>
          <w:rFonts w:hint="eastAsia" w:ascii="宋体" w:hAnsi="宋体" w:eastAsia="宋体" w:cs="宋体"/>
          <w:sz w:val="24"/>
          <w:szCs w:val="24"/>
          <w:highlight w:val="none"/>
          <w:lang w:val="en-US" w:eastAsia="en-US" w:bidi="ar-SA"/>
        </w:rPr>
        <w:t>支付，在确认工作完成的情况下，根据考核结果，中标</w:t>
      </w:r>
      <w:r>
        <w:rPr>
          <w:rFonts w:hint="eastAsia" w:ascii="宋体" w:hAnsi="宋体" w:eastAsia="宋体" w:cs="宋体"/>
          <w:sz w:val="24"/>
          <w:szCs w:val="24"/>
          <w:highlight w:val="none"/>
          <w:lang w:val="en-US" w:eastAsia="zh-CN" w:bidi="ar-SA"/>
        </w:rPr>
        <w:t>供应商</w:t>
      </w:r>
      <w:r>
        <w:rPr>
          <w:rFonts w:hint="eastAsia" w:ascii="宋体" w:hAnsi="宋体" w:eastAsia="宋体" w:cs="宋体"/>
          <w:sz w:val="24"/>
          <w:szCs w:val="24"/>
          <w:highlight w:val="none"/>
          <w:lang w:val="en-US" w:eastAsia="en-US" w:bidi="ar-SA"/>
        </w:rPr>
        <w:t>次</w:t>
      </w:r>
      <w:r>
        <w:rPr>
          <w:rFonts w:hint="eastAsia" w:ascii="宋体" w:hAnsi="宋体" w:eastAsia="宋体" w:cs="宋体"/>
          <w:sz w:val="24"/>
          <w:szCs w:val="24"/>
          <w:highlight w:val="none"/>
          <w:lang w:val="en-US" w:eastAsia="zh-CN" w:bidi="ar-SA"/>
        </w:rPr>
        <w:t>季度</w:t>
      </w:r>
      <w:r>
        <w:rPr>
          <w:rFonts w:hint="eastAsia" w:ascii="宋体" w:hAnsi="宋体" w:eastAsia="宋体" w:cs="宋体"/>
          <w:sz w:val="24"/>
          <w:szCs w:val="24"/>
          <w:highlight w:val="none"/>
          <w:lang w:val="en-US" w:eastAsia="en-US" w:bidi="ar-SA"/>
        </w:rPr>
        <w:t>月5日前开具正式票据递交采购单位（如遇假期顺延）。</w:t>
      </w:r>
    </w:p>
    <w:p w14:paraId="4E65ACCA">
      <w:pPr>
        <w:widowControl w:val="0"/>
        <w:tabs>
          <w:tab w:val="left" w:pos="3125"/>
        </w:tabs>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资金支付的</w:t>
      </w:r>
      <w:r>
        <w:rPr>
          <w:rFonts w:hint="eastAsia" w:ascii="宋体" w:hAnsi="宋体" w:eastAsia="宋体" w:cs="宋体"/>
          <w:sz w:val="24"/>
          <w:szCs w:val="24"/>
          <w:highlight w:val="none"/>
          <w:lang w:val="en-US" w:eastAsia="zh-CN" w:bidi="ar-SA"/>
        </w:rPr>
        <w:t>时间</w:t>
      </w:r>
      <w:r>
        <w:rPr>
          <w:rFonts w:hint="eastAsia" w:ascii="宋体" w:hAnsi="宋体" w:eastAsia="宋体" w:cs="宋体"/>
          <w:sz w:val="24"/>
          <w:szCs w:val="24"/>
          <w:highlight w:val="none"/>
          <w:lang w:val="zh-CN" w:eastAsia="zh-CN" w:bidi="ar-SA"/>
        </w:rPr>
        <w:t>：</w:t>
      </w:r>
      <w:r>
        <w:rPr>
          <w:rFonts w:hint="eastAsia" w:ascii="宋体" w:hAnsi="宋体" w:eastAsia="宋体" w:cs="宋体"/>
          <w:sz w:val="24"/>
          <w:szCs w:val="24"/>
          <w:highlight w:val="none"/>
          <w:lang w:val="en-US" w:eastAsia="zh-CN" w:bidi="ar-SA"/>
        </w:rPr>
        <w:t>收到供应商发票10个工作日内</w:t>
      </w:r>
      <w:r>
        <w:rPr>
          <w:rFonts w:hint="eastAsia" w:ascii="宋体" w:hAnsi="宋体" w:eastAsia="宋体" w:cs="宋体"/>
          <w:sz w:val="24"/>
          <w:szCs w:val="24"/>
          <w:highlight w:val="none"/>
          <w:lang w:val="zh-CN" w:eastAsia="zh-CN" w:bidi="ar-SA"/>
        </w:rPr>
        <w:t>。</w:t>
      </w:r>
    </w:p>
    <w:p w14:paraId="7DD6F32A">
      <w:pPr>
        <w:widowControl w:val="0"/>
        <w:tabs>
          <w:tab w:val="left" w:pos="3125"/>
        </w:tabs>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资金支付方式：合同约定的供应商账户或供应商数字人民币账户。</w:t>
      </w:r>
    </w:p>
    <w:p w14:paraId="0DA02C27">
      <w:pPr>
        <w:widowControl w:val="0"/>
        <w:tabs>
          <w:tab w:val="left" w:pos="3125"/>
        </w:tabs>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注：在签订合同时，中标人明确表示无需预付款或者主动要求降低预付款比例的金额，采购人可不适用预付款规定。</w:t>
      </w:r>
    </w:p>
    <w:p w14:paraId="5A373BF8">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第六条 甲方的权利和义务</w:t>
      </w:r>
    </w:p>
    <w:p w14:paraId="1A69E8F5">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1、全面监督、指导、检查、验收乙方工资、对乙方未能按合同要求履行的服务事项，甲方有权要求乙方限期改正，对乙方提出的合理建议和要求予以采纳或提供帮助。</w:t>
      </w:r>
    </w:p>
    <w:p w14:paraId="6F35E869">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2、如遇特殊保洁工作需求时（如外来人员参观、创优检查、台风等情况），可提前或事后通知乙方安排人员进行保洁工作。</w:t>
      </w:r>
    </w:p>
    <w:p w14:paraId="0A4A0C33">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3、有权制定相应管理措施、监督检查标准等，以保证乙方按照合同及其他双方议定之要求运作。</w:t>
      </w:r>
    </w:p>
    <w:p w14:paraId="3928CD6F">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4、对乙方保洁质量进行监督检查，发现不符合清洁范围和标准的，有权要求乙方返工，直至达到质量标准。</w:t>
      </w:r>
    </w:p>
    <w:p w14:paraId="4D2675EC">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5、按合同约定向乙方支付保洁服务费。</w:t>
      </w:r>
    </w:p>
    <w:p w14:paraId="14623FED">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第七条 乙方的权利和义务</w:t>
      </w:r>
    </w:p>
    <w:p w14:paraId="63FFDA32">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1、乙方应按照甲方划分的保洁区域和范围认真做好保洁工作，确保高标准、高质量。</w:t>
      </w:r>
    </w:p>
    <w:p w14:paraId="4A2CADFC">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严格教育、培训和管理派驻的保洁人员，遵守甲方制定的各项规章制度，服从甲方的管理。乙方除参加每日联检、月度例会、季度评审会之外，每月至少指派一名管理人员到甲方检查承包范围内的保洁卫生情况，并积极征询甲方意见，加强沟通，不断提高服务品质。</w:t>
      </w:r>
    </w:p>
    <w:p w14:paraId="38217D93">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3、乙方保洁服务过程中，因故意或过失造成甲方或第三人财产或人身损害的，乙方应承担相应的责任。</w:t>
      </w:r>
    </w:p>
    <w:p w14:paraId="45090F14">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4、乙方不属于甲方员工，乙方在提供保洁服务过程中，乙方出现的工伤事故，由乙方自行承担部分责任及损失。</w:t>
      </w:r>
    </w:p>
    <w:p w14:paraId="61E65251">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5、乙方入职的所有正式员工统一交意外保障险。</w:t>
      </w:r>
    </w:p>
    <w:p w14:paraId="7971826B">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6、街道保洁人员所需的工具：扫把、铁锹、簸箕等；车辆的维修费由中标单位负责。后期的管理制度跟进。垃圾桶购买与维护需要中标单位负责。</w:t>
      </w:r>
    </w:p>
    <w:p w14:paraId="2EBF8EF5">
      <w:pPr>
        <w:widowControl w:val="0"/>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第八条 违约责任</w:t>
      </w:r>
    </w:p>
    <w:p w14:paraId="532264E4">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1、甲方每月开展的清洁评审采取日常巡查和月度联合检查相结合的形式。</w:t>
      </w:r>
    </w:p>
    <w:p w14:paraId="53814B15">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乙方在保洁工作中未达到保洁的质量要求，经甲方两次口头通知，仍未达到要求，将以书面形式通知乙方，并扣除乙方当月保洁服务费的5%。甲方以书面形式通知乙方整改后，乙方拒不整改和整改不到位的，甲方有权解除合同。</w:t>
      </w:r>
    </w:p>
    <w:p w14:paraId="52AFB845">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3、因甲方未能如期付款而影响乙方开展工作，受资金不到位的影响而未采购到常用保洁用品，导致定期作业难以开展时，由甲方自行承担相关不良后果。</w:t>
      </w:r>
    </w:p>
    <w:p w14:paraId="5EA0A2A6">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4、甲方连续二个月未能支付乙方保洁服务费，视为甲方单位提出检出本协议，乙方有权要求甲方支付拖欠保洁服务费用所产生的逾期违约金。</w:t>
      </w:r>
    </w:p>
    <w:p w14:paraId="77B10883">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5、甲方不得以本协议条款明确约定以外的任何理由：扣减每月的保洁服务费用或收取违约金，否则视为甲方单方提出解除本协议，乙方有权要求甲方支付拖欠保洁服务费用所参数的逾期违约金。   </w:t>
      </w:r>
    </w:p>
    <w:p w14:paraId="22C2BF1E">
      <w:pPr>
        <w:widowControl w:val="0"/>
        <w:tabs>
          <w:tab w:val="left" w:pos="1114"/>
        </w:tabs>
        <w:spacing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第九条</w:t>
      </w:r>
      <w:r>
        <w:rPr>
          <w:rFonts w:hint="eastAsia" w:ascii="宋体" w:hAnsi="宋体" w:eastAsia="宋体" w:cs="宋体"/>
          <w:b/>
          <w:sz w:val="24"/>
          <w:szCs w:val="24"/>
          <w:highlight w:val="none"/>
          <w:lang w:val="en-US" w:eastAsia="zh-CN" w:bidi="ar-SA"/>
        </w:rPr>
        <w:tab/>
      </w:r>
      <w:r>
        <w:rPr>
          <w:rFonts w:hint="eastAsia" w:ascii="宋体" w:hAnsi="宋体" w:eastAsia="宋体" w:cs="宋体"/>
          <w:b/>
          <w:sz w:val="24"/>
          <w:szCs w:val="24"/>
          <w:highlight w:val="none"/>
          <w:lang w:val="en-US" w:eastAsia="zh-CN" w:bidi="ar-SA"/>
        </w:rPr>
        <w:t>附则</w:t>
      </w:r>
    </w:p>
    <w:p w14:paraId="5DE22DD9">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1、遇到本合同未尽事宜，由甲乙双方通过协商另订补充协议，作为本合同不可分割的组成部分，且与本合同具有同等效力。</w:t>
      </w:r>
    </w:p>
    <w:p w14:paraId="570F45AD">
      <w:pPr>
        <w:widowControl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2、本合同壹式肆份，甲乙双方各执贰份。合同在甲乙双方签字盖章后正式生效，肆份合同具有同等法律效力。</w:t>
      </w:r>
    </w:p>
    <w:p w14:paraId="0D76C89C">
      <w:pPr>
        <w:widowControl w:val="0"/>
        <w:spacing w:before="9" w:line="360" w:lineRule="auto"/>
        <w:rPr>
          <w:rFonts w:hint="eastAsia" w:ascii="宋体" w:hAnsi="宋体" w:eastAsia="宋体" w:cs="宋体"/>
          <w:sz w:val="20"/>
          <w:szCs w:val="28"/>
          <w:highlight w:val="none"/>
          <w:lang w:val="en-US" w:eastAsia="zh-CN" w:bidi="ar-SA"/>
        </w:rPr>
      </w:pPr>
    </w:p>
    <w:tbl>
      <w:tblPr>
        <w:tblStyle w:val="41"/>
        <w:tblW w:w="9035" w:type="dxa"/>
        <w:tblInd w:w="118" w:type="dxa"/>
        <w:tblLayout w:type="fixed"/>
        <w:tblCellMar>
          <w:top w:w="0" w:type="dxa"/>
          <w:left w:w="0" w:type="dxa"/>
          <w:bottom w:w="0" w:type="dxa"/>
          <w:right w:w="0" w:type="dxa"/>
        </w:tblCellMar>
      </w:tblPr>
      <w:tblGrid>
        <w:gridCol w:w="4564"/>
        <w:gridCol w:w="4471"/>
      </w:tblGrid>
      <w:tr w14:paraId="07149253">
        <w:tblPrEx>
          <w:tblCellMar>
            <w:top w:w="0" w:type="dxa"/>
            <w:left w:w="0" w:type="dxa"/>
            <w:bottom w:w="0" w:type="dxa"/>
            <w:right w:w="0" w:type="dxa"/>
          </w:tblCellMar>
        </w:tblPrEx>
        <w:trPr>
          <w:trHeight w:val="933" w:hRule="atLeast"/>
        </w:trPr>
        <w:tc>
          <w:tcPr>
            <w:tcW w:w="4564" w:type="dxa"/>
            <w:tcBorders>
              <w:top w:val="nil"/>
              <w:left w:val="nil"/>
              <w:bottom w:val="nil"/>
              <w:right w:val="nil"/>
            </w:tcBorders>
            <w:noWrap w:val="0"/>
            <w:vAlign w:val="top"/>
          </w:tcPr>
          <w:p w14:paraId="6FA3E72D">
            <w:pPr>
              <w:widowControl w:val="0"/>
              <w:spacing w:before="178" w:line="360" w:lineRule="auto"/>
              <w:ind w:left="50"/>
              <w:rPr>
                <w:rFonts w:hint="eastAsia" w:ascii="宋体" w:hAnsi="宋体" w:eastAsia="宋体" w:cs="宋体"/>
                <w:sz w:val="24"/>
                <w:szCs w:val="28"/>
                <w:highlight w:val="none"/>
                <w:lang w:val="en-US" w:eastAsia="zh-CN" w:bidi="ar-SA"/>
              </w:rPr>
            </w:pPr>
            <w:r>
              <w:rPr>
                <w:rFonts w:hint="eastAsia" w:ascii="宋体" w:hAnsi="宋体" w:eastAsia="宋体" w:cs="宋体"/>
                <w:sz w:val="24"/>
                <w:szCs w:val="28"/>
                <w:highlight w:val="none"/>
                <w:lang w:val="en-US" w:eastAsia="zh-CN" w:bidi="ar-SA"/>
              </w:rPr>
              <w:t>甲方（盖章）：</w:t>
            </w:r>
          </w:p>
          <w:p w14:paraId="399E5166">
            <w:pPr>
              <w:widowControl w:val="0"/>
              <w:spacing w:before="178" w:line="360" w:lineRule="auto"/>
              <w:ind w:left="50"/>
              <w:rPr>
                <w:rFonts w:hint="eastAsia" w:ascii="宋体" w:hAnsi="宋体" w:eastAsia="宋体" w:cs="宋体"/>
                <w:sz w:val="24"/>
                <w:szCs w:val="28"/>
                <w:highlight w:val="none"/>
                <w:lang w:val="en-US" w:eastAsia="zh-CN" w:bidi="ar-SA"/>
              </w:rPr>
            </w:pPr>
            <w:r>
              <w:rPr>
                <w:rFonts w:hint="eastAsia" w:ascii="宋体" w:hAnsi="宋体" w:eastAsia="宋体" w:cs="宋体"/>
                <w:sz w:val="24"/>
                <w:szCs w:val="28"/>
                <w:highlight w:val="none"/>
                <w:lang w:val="en-US" w:eastAsia="zh-CN" w:bidi="ar-SA"/>
              </w:rPr>
              <w:t>甲方代表：</w:t>
            </w:r>
          </w:p>
        </w:tc>
        <w:tc>
          <w:tcPr>
            <w:tcW w:w="4471" w:type="dxa"/>
            <w:tcBorders>
              <w:top w:val="nil"/>
              <w:left w:val="nil"/>
              <w:bottom w:val="nil"/>
              <w:right w:val="nil"/>
            </w:tcBorders>
            <w:noWrap w:val="0"/>
            <w:vAlign w:val="top"/>
          </w:tcPr>
          <w:p w14:paraId="38FF7B03">
            <w:pPr>
              <w:widowControl w:val="0"/>
              <w:spacing w:before="178" w:line="360" w:lineRule="auto"/>
              <w:ind w:left="50" w:firstLine="960"/>
              <w:rPr>
                <w:rFonts w:hint="eastAsia" w:ascii="宋体" w:hAnsi="宋体" w:eastAsia="宋体" w:cs="宋体"/>
                <w:sz w:val="24"/>
                <w:szCs w:val="28"/>
                <w:highlight w:val="none"/>
                <w:lang w:val="en-US" w:eastAsia="zh-CN" w:bidi="ar-SA"/>
              </w:rPr>
            </w:pPr>
            <w:r>
              <w:rPr>
                <w:rFonts w:hint="eastAsia" w:ascii="宋体" w:hAnsi="宋体" w:eastAsia="宋体" w:cs="宋体"/>
                <w:sz w:val="24"/>
                <w:szCs w:val="28"/>
                <w:highlight w:val="none"/>
                <w:lang w:val="en-US" w:eastAsia="zh-CN" w:bidi="ar-SA"/>
              </w:rPr>
              <w:t>乙方（盖章）：</w:t>
            </w:r>
          </w:p>
          <w:p w14:paraId="008F3709">
            <w:pPr>
              <w:widowControl w:val="0"/>
              <w:spacing w:before="160" w:line="360" w:lineRule="auto"/>
              <w:ind w:left="1048"/>
              <w:rPr>
                <w:rFonts w:hint="eastAsia" w:ascii="宋体" w:hAnsi="宋体" w:eastAsia="宋体" w:cs="宋体"/>
                <w:sz w:val="24"/>
                <w:szCs w:val="28"/>
                <w:highlight w:val="none"/>
                <w:lang w:val="en-US" w:eastAsia="zh-CN" w:bidi="ar-SA"/>
              </w:rPr>
            </w:pPr>
            <w:r>
              <w:rPr>
                <w:rFonts w:hint="eastAsia" w:ascii="宋体" w:hAnsi="宋体" w:eastAsia="宋体" w:cs="宋体"/>
                <w:sz w:val="24"/>
                <w:szCs w:val="28"/>
                <w:highlight w:val="none"/>
                <w:lang w:val="en-US" w:eastAsia="zh-CN" w:bidi="ar-SA"/>
              </w:rPr>
              <w:t>乙方代表：</w:t>
            </w:r>
          </w:p>
        </w:tc>
      </w:tr>
      <w:tr w14:paraId="56CA63D0">
        <w:tblPrEx>
          <w:tblCellMar>
            <w:top w:w="0" w:type="dxa"/>
            <w:left w:w="0" w:type="dxa"/>
            <w:bottom w:w="0" w:type="dxa"/>
            <w:right w:w="0" w:type="dxa"/>
          </w:tblCellMar>
        </w:tblPrEx>
        <w:trPr>
          <w:trHeight w:val="1149" w:hRule="atLeast"/>
        </w:trPr>
        <w:tc>
          <w:tcPr>
            <w:tcW w:w="4564" w:type="dxa"/>
            <w:tcBorders>
              <w:top w:val="nil"/>
              <w:left w:val="nil"/>
              <w:bottom w:val="nil"/>
              <w:right w:val="nil"/>
            </w:tcBorders>
            <w:noWrap w:val="0"/>
            <w:vAlign w:val="top"/>
          </w:tcPr>
          <w:p w14:paraId="0656087C">
            <w:pPr>
              <w:widowControl w:val="0"/>
              <w:spacing w:before="177" w:line="360" w:lineRule="auto"/>
              <w:ind w:left="50" w:right="50"/>
              <w:rPr>
                <w:rFonts w:hint="eastAsia" w:ascii="宋体" w:hAnsi="宋体" w:eastAsia="宋体" w:cs="宋体"/>
                <w:sz w:val="24"/>
                <w:szCs w:val="28"/>
                <w:highlight w:val="none"/>
                <w:lang w:val="en-US" w:eastAsia="zh-CN" w:bidi="ar-SA"/>
              </w:rPr>
            </w:pPr>
            <w:r>
              <w:rPr>
                <w:rFonts w:hint="eastAsia" w:ascii="宋体" w:hAnsi="宋体" w:eastAsia="宋体" w:cs="宋体"/>
                <w:sz w:val="24"/>
                <w:szCs w:val="28"/>
                <w:highlight w:val="none"/>
                <w:lang w:val="en-US" w:eastAsia="zh-CN" w:bidi="ar-SA"/>
              </w:rPr>
              <w:t>电话号码：</w:t>
            </w:r>
          </w:p>
          <w:p w14:paraId="045E3230">
            <w:pPr>
              <w:widowControl w:val="0"/>
              <w:spacing w:line="360" w:lineRule="auto"/>
              <w:ind w:left="50"/>
              <w:rPr>
                <w:rFonts w:hint="eastAsia" w:ascii="宋体" w:hAnsi="宋体" w:eastAsia="宋体" w:cs="宋体"/>
                <w:sz w:val="24"/>
                <w:szCs w:val="28"/>
                <w:highlight w:val="none"/>
                <w:lang w:val="en-US" w:eastAsia="zh-CN" w:bidi="ar-SA"/>
              </w:rPr>
            </w:pPr>
            <w:r>
              <w:rPr>
                <w:rFonts w:hint="eastAsia" w:ascii="宋体" w:hAnsi="宋体" w:eastAsia="宋体" w:cs="宋体"/>
                <w:sz w:val="24"/>
                <w:szCs w:val="28"/>
                <w:highlight w:val="none"/>
                <w:lang w:val="en-US" w:eastAsia="zh-CN" w:bidi="ar-SA"/>
              </w:rPr>
              <w:t>签约时间：    年   月   日</w:t>
            </w:r>
          </w:p>
        </w:tc>
        <w:tc>
          <w:tcPr>
            <w:tcW w:w="4471" w:type="dxa"/>
            <w:tcBorders>
              <w:top w:val="nil"/>
              <w:left w:val="nil"/>
              <w:bottom w:val="nil"/>
              <w:right w:val="nil"/>
            </w:tcBorders>
            <w:noWrap w:val="0"/>
            <w:vAlign w:val="top"/>
          </w:tcPr>
          <w:p w14:paraId="2279DEEA">
            <w:pPr>
              <w:widowControl w:val="0"/>
              <w:spacing w:before="177" w:line="360" w:lineRule="auto"/>
              <w:ind w:left="1048" w:right="1520"/>
              <w:rPr>
                <w:rFonts w:hint="eastAsia" w:ascii="宋体" w:hAnsi="宋体" w:eastAsia="宋体" w:cs="宋体"/>
                <w:sz w:val="24"/>
                <w:szCs w:val="28"/>
                <w:highlight w:val="none"/>
                <w:lang w:val="en-US" w:eastAsia="zh-CN" w:bidi="ar-SA"/>
              </w:rPr>
            </w:pPr>
            <w:r>
              <w:rPr>
                <w:rFonts w:hint="eastAsia" w:ascii="宋体" w:hAnsi="宋体" w:eastAsia="宋体" w:cs="宋体"/>
                <w:sz w:val="24"/>
                <w:szCs w:val="28"/>
                <w:highlight w:val="none"/>
                <w:lang w:val="en-US" w:eastAsia="zh-CN" w:bidi="ar-SA"/>
              </w:rPr>
              <w:t>电话号码：</w:t>
            </w:r>
          </w:p>
          <w:p w14:paraId="2FA83247">
            <w:pPr>
              <w:widowControl w:val="0"/>
              <w:tabs>
                <w:tab w:val="left" w:pos="2519"/>
                <w:tab w:val="left" w:pos="3148"/>
                <w:tab w:val="left" w:pos="3674"/>
              </w:tabs>
              <w:spacing w:line="360" w:lineRule="auto"/>
              <w:ind w:left="1048"/>
              <w:rPr>
                <w:rFonts w:hint="eastAsia" w:ascii="宋体" w:hAnsi="宋体" w:eastAsia="宋体" w:cs="宋体"/>
                <w:sz w:val="24"/>
                <w:szCs w:val="28"/>
                <w:highlight w:val="none"/>
                <w:lang w:val="en-US" w:eastAsia="zh-CN" w:bidi="ar-SA"/>
              </w:rPr>
            </w:pPr>
            <w:r>
              <w:rPr>
                <w:rFonts w:hint="eastAsia" w:ascii="宋体" w:hAnsi="宋体" w:eastAsia="宋体" w:cs="宋体"/>
                <w:sz w:val="24"/>
                <w:szCs w:val="28"/>
                <w:highlight w:val="none"/>
                <w:lang w:val="en-US" w:eastAsia="zh-CN" w:bidi="ar-SA"/>
              </w:rPr>
              <w:t>签约时间：</w:t>
            </w:r>
            <w:r>
              <w:rPr>
                <w:rFonts w:hint="eastAsia" w:ascii="宋体" w:hAnsi="宋体" w:eastAsia="宋体" w:cs="宋体"/>
                <w:sz w:val="24"/>
                <w:szCs w:val="28"/>
                <w:highlight w:val="none"/>
                <w:lang w:val="en-US" w:eastAsia="zh-CN" w:bidi="ar-SA"/>
              </w:rPr>
              <w:tab/>
            </w:r>
            <w:r>
              <w:rPr>
                <w:rFonts w:hint="eastAsia" w:ascii="宋体" w:hAnsi="宋体" w:eastAsia="宋体" w:cs="宋体"/>
                <w:sz w:val="24"/>
                <w:szCs w:val="28"/>
                <w:highlight w:val="none"/>
                <w:lang w:val="en-US" w:eastAsia="zh-CN" w:bidi="ar-SA"/>
              </w:rPr>
              <w:t>年</w:t>
            </w:r>
            <w:r>
              <w:rPr>
                <w:rFonts w:hint="eastAsia" w:ascii="宋体" w:hAnsi="宋体" w:eastAsia="宋体" w:cs="宋体"/>
                <w:sz w:val="24"/>
                <w:szCs w:val="28"/>
                <w:highlight w:val="none"/>
                <w:lang w:val="en-US" w:eastAsia="zh-CN" w:bidi="ar-SA"/>
              </w:rPr>
              <w:tab/>
            </w:r>
            <w:r>
              <w:rPr>
                <w:rFonts w:hint="eastAsia" w:ascii="宋体" w:hAnsi="宋体" w:eastAsia="宋体" w:cs="宋体"/>
                <w:sz w:val="24"/>
                <w:szCs w:val="28"/>
                <w:highlight w:val="none"/>
                <w:lang w:val="en-US" w:eastAsia="zh-CN" w:bidi="ar-SA"/>
              </w:rPr>
              <w:t>月</w:t>
            </w:r>
            <w:r>
              <w:rPr>
                <w:rFonts w:hint="eastAsia" w:ascii="宋体" w:hAnsi="宋体" w:eastAsia="宋体" w:cs="宋体"/>
                <w:sz w:val="24"/>
                <w:szCs w:val="28"/>
                <w:highlight w:val="none"/>
                <w:lang w:val="en-US" w:eastAsia="zh-CN" w:bidi="ar-SA"/>
              </w:rPr>
              <w:tab/>
            </w:r>
            <w:r>
              <w:rPr>
                <w:rFonts w:hint="eastAsia" w:ascii="宋体" w:hAnsi="宋体" w:eastAsia="宋体" w:cs="宋体"/>
                <w:sz w:val="24"/>
                <w:szCs w:val="28"/>
                <w:highlight w:val="none"/>
                <w:lang w:val="en-US" w:eastAsia="zh-CN" w:bidi="ar-SA"/>
              </w:rPr>
              <w:t>日</w:t>
            </w:r>
          </w:p>
        </w:tc>
      </w:tr>
    </w:tbl>
    <w:p w14:paraId="33D5845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br w:type="page" w:clear="all"/>
      </w:r>
      <w:r>
        <w:rPr>
          <w:rFonts w:hint="eastAsia" w:ascii="宋体" w:hAnsi="宋体" w:eastAsia="宋体" w:cs="宋体"/>
          <w:b w:val="0"/>
          <w:bCs w:val="0"/>
          <w:color w:val="000000"/>
          <w:spacing w:val="0"/>
          <w:sz w:val="24"/>
          <w:szCs w:val="24"/>
          <w:highlight w:val="none"/>
          <w:lang w:val="en-US" w:eastAsia="zh-CN" w:bidi="ar-SA"/>
        </w:rPr>
        <w:t>附件1</w:t>
      </w:r>
    </w:p>
    <w:p w14:paraId="6A42A73E">
      <w:pPr>
        <w:keepNext w:val="0"/>
        <w:keepLines w:val="0"/>
        <w:pageBreakBefore w:val="0"/>
        <w:widowControl w:val="0"/>
        <w:spacing w:before="0" w:after="0" w:line="440" w:lineRule="exact"/>
        <w:ind w:left="0" w:right="0" w:firstLine="643"/>
        <w:jc w:val="center"/>
        <w:rPr>
          <w:rFonts w:hint="eastAsia" w:ascii="宋体" w:hAnsi="宋体" w:eastAsia="宋体" w:cs="宋体"/>
          <w:b/>
          <w:bCs/>
          <w:color w:val="000000"/>
          <w:spacing w:val="0"/>
          <w:sz w:val="32"/>
          <w:szCs w:val="32"/>
          <w:highlight w:val="none"/>
          <w:lang w:val="en-US" w:eastAsia="en-US" w:bidi="ar-SA"/>
        </w:rPr>
      </w:pPr>
      <w:r>
        <w:rPr>
          <w:rFonts w:hint="eastAsia" w:ascii="宋体" w:hAnsi="宋体" w:eastAsia="宋体" w:cs="宋体"/>
          <w:b/>
          <w:bCs/>
          <w:color w:val="000000"/>
          <w:spacing w:val="0"/>
          <w:sz w:val="32"/>
          <w:szCs w:val="32"/>
          <w:highlight w:val="none"/>
          <w:lang w:val="en-US" w:eastAsia="zh-CN" w:bidi="ar-SA"/>
        </w:rPr>
        <w:t>章集街道保洁服务考核办法</w:t>
      </w:r>
    </w:p>
    <w:p w14:paraId="57C74CC3">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为加强环境卫生质量监管，建立健全长效管理机制，促进环卫作业市场化的健康发展，本着“高标准、高质量、严要求”的原则，结合街道实际，制定本暂行办法。</w:t>
      </w:r>
    </w:p>
    <w:p w14:paraId="6F2DAF8C">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一、考核依据</w:t>
      </w:r>
    </w:p>
    <w:p w14:paraId="6516CE73">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以《城市环境卫生质量标准》《宿迁市容和环境卫生管理条例》及上级部门各单项考核文件标准等为依据，充分结合对外发包路段招标文件的相关要求和规定，细化内容，综合评定。</w:t>
      </w:r>
    </w:p>
    <w:p w14:paraId="585756A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二、考核内容</w:t>
      </w:r>
    </w:p>
    <w:p w14:paraId="0014C0B4">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作业质量考核、保洁范围内质效考核、运行管理考核、重大活动保障和应急管理考核等。</w:t>
      </w:r>
    </w:p>
    <w:p w14:paraId="78AD2B3B">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三、考核机构</w:t>
      </w:r>
    </w:p>
    <w:p w14:paraId="439BFF68">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沭阳县人民政府章集街道办事处成立道路清扫保洁作业质量考核组</w:t>
      </w:r>
    </w:p>
    <w:p w14:paraId="58EE7BB9">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四、考核办法</w:t>
      </w:r>
    </w:p>
    <w:p w14:paraId="50F2A405">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由考核小组会同相关部门联合进行考核，每周至少考核1次，采取明查和暗查相结合方式。考核内容详见考核细则。</w:t>
      </w:r>
    </w:p>
    <w:p w14:paraId="605318CD">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计分方式为以平均分为当月考核得分，平均分=每月考核分数总分/考核次数。</w:t>
      </w:r>
    </w:p>
    <w:p w14:paraId="7BEBDE5A">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考核结果经确认后，于次月5日前由考核人员将前一月的考核情况汇总上报分管领导和主要负责人，并以书面形式通报给乙方，考核结果作为月度费用结算的依据。</w:t>
      </w:r>
    </w:p>
    <w:p w14:paraId="4C4E67CF">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五、奖罚办法</w:t>
      </w:r>
    </w:p>
    <w:p w14:paraId="1FCB19BD">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1. 在上级考核中排名前列或通报表扬的，根据实际情况予以加分、奖励。</w:t>
      </w:r>
    </w:p>
    <w:p w14:paraId="7B4ACC0D">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2. 每月考核得分在90分（含90分）以上的不扣承包经费。</w:t>
      </w:r>
    </w:p>
    <w:p w14:paraId="70C5227A">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3. 每月考核得分在80～89分（含80分）的扣当月承包经费5%。</w:t>
      </w:r>
    </w:p>
    <w:p w14:paraId="4B6CBA93">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4. 每月考核得分在70～79分（含70分）的扣当月承包经费10%。</w:t>
      </w:r>
    </w:p>
    <w:p w14:paraId="003600A8">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5. 每月考核得分在70（不含70分）以下的扣当月承包经费20%。</w:t>
      </w:r>
    </w:p>
    <w:p w14:paraId="6C82FD5E">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6. 连续三个月考核得分在80（不含80分）以下的解除合同，成交供应商自行承担由此造成的一切损失。</w:t>
      </w:r>
    </w:p>
    <w:p w14:paraId="4C75E158">
      <w:pPr>
        <w:keepNext w:val="0"/>
        <w:keepLines w:val="0"/>
        <w:pageBreakBefore w:val="0"/>
        <w:widowControl w:val="0"/>
        <w:spacing w:before="0" w:after="0" w:line="440" w:lineRule="exact"/>
        <w:ind w:left="0" w:right="0" w:firstLine="480"/>
        <w:jc w:val="left"/>
        <w:rPr>
          <w:rFonts w:hint="eastAsia" w:ascii="宋体" w:hAnsi="宋体" w:eastAsia="宋体" w:cs="宋体"/>
          <w:b w:val="0"/>
          <w:bCs w:val="0"/>
          <w:color w:val="000000"/>
          <w:spacing w:val="0"/>
          <w:sz w:val="24"/>
          <w:szCs w:val="24"/>
          <w:highlight w:val="none"/>
          <w:lang w:val="en-US" w:eastAsia="en-US" w:bidi="ar-SA"/>
        </w:rPr>
      </w:pPr>
      <w:r>
        <w:rPr>
          <w:rFonts w:hint="eastAsia" w:ascii="宋体" w:hAnsi="宋体" w:eastAsia="宋体" w:cs="宋体"/>
          <w:b w:val="0"/>
          <w:bCs w:val="0"/>
          <w:color w:val="000000"/>
          <w:spacing w:val="0"/>
          <w:sz w:val="24"/>
          <w:szCs w:val="24"/>
          <w:highlight w:val="none"/>
          <w:lang w:val="en-US" w:eastAsia="zh-CN" w:bidi="ar-SA"/>
        </w:rPr>
        <w:t>7. 被上级部门检查或媒体曝光，确属中标人工作失误或失职，或因管理不到位，造成群众反复投诉或被上级通报的，根据严重程度经街道研究后，根据实际情况予以扣分、处罚。</w:t>
      </w:r>
    </w:p>
    <w:p w14:paraId="48D4F1DF">
      <w:pPr>
        <w:rPr>
          <w:rFonts w:hint="eastAsia" w:ascii="Times New Roman" w:hAnsi="Times New Roman" w:eastAsia="宋体" w:cs="Times New Roman"/>
          <w:b/>
          <w:sz w:val="44"/>
        </w:rPr>
      </w:pPr>
      <w:r>
        <w:rPr>
          <w:rFonts w:hint="eastAsia" w:ascii="Times New Roman" w:hAnsi="Times New Roman" w:eastAsia="宋体" w:cs="Times New Roman"/>
          <w:b/>
          <w:sz w:val="44"/>
        </w:rPr>
        <w:br w:type="page" w:clear="all"/>
      </w:r>
    </w:p>
    <w:p w14:paraId="7C7EE288">
      <w:pPr>
        <w:keepNext w:val="0"/>
        <w:keepLines w:val="0"/>
        <w:pageBreakBefore w:val="0"/>
        <w:widowControl w:val="0"/>
        <w:spacing w:before="0" w:after="0" w:line="440" w:lineRule="exact"/>
        <w:ind w:left="0" w:right="0"/>
        <w:jc w:val="center"/>
        <w:rPr>
          <w:rFonts w:hint="default" w:ascii="仿宋" w:hAnsi="仿宋" w:eastAsia="仿宋" w:cs="仿宋"/>
          <w:spacing w:val="0"/>
          <w:sz w:val="22"/>
          <w:szCs w:val="22"/>
          <w:highlight w:val="none"/>
          <w:lang w:val="en-US" w:eastAsia="en-US" w:bidi="ar-SA"/>
        </w:rPr>
      </w:pPr>
      <w:r>
        <w:rPr>
          <w:rFonts w:hint="eastAsia" w:ascii="Times New Roman" w:hAnsi="Times New Roman" w:eastAsia="宋体" w:cs="Times New Roman"/>
          <w:b/>
          <w:sz w:val="40"/>
          <w:szCs w:val="22"/>
          <w:lang w:val="en-US" w:eastAsia="zh-CN" w:bidi="ar-SA"/>
        </w:rPr>
        <w:t>沭阳县章集街道</w:t>
      </w:r>
      <w:r>
        <w:rPr>
          <w:rFonts w:hint="default" w:ascii="Times New Roman" w:hAnsi="Times New Roman" w:eastAsia="宋体" w:cs="Times New Roman"/>
          <w:b/>
          <w:sz w:val="40"/>
          <w:szCs w:val="22"/>
          <w:lang w:val="en-US" w:eastAsia="zh-CN" w:bidi="ar-SA"/>
        </w:rPr>
        <w:t>环境卫生考核评分细则标准</w:t>
      </w:r>
    </w:p>
    <w:tbl>
      <w:tblPr>
        <w:tblStyle w:val="41"/>
        <w:tblW w:w="9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4540"/>
        <w:gridCol w:w="3497"/>
      </w:tblGrid>
      <w:tr w14:paraId="097B3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49" w:type="dxa"/>
            <w:shd w:val="clear" w:color="auto" w:fill="FFFFFF"/>
            <w:noWrap w:val="0"/>
            <w:vAlign w:val="top"/>
          </w:tcPr>
          <w:p w14:paraId="55E7BCC8">
            <w:pPr>
              <w:keepNext w:val="0"/>
              <w:keepLines w:val="0"/>
              <w:pageBreakBefore w:val="0"/>
              <w:widowControl w:val="0"/>
              <w:spacing w:before="99" w:after="0" w:line="300" w:lineRule="exact"/>
              <w:ind w:left="0" w:right="0"/>
              <w:jc w:val="center"/>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 xml:space="preserve">项目 </w:t>
            </w:r>
          </w:p>
        </w:tc>
        <w:tc>
          <w:tcPr>
            <w:tcW w:w="4540" w:type="dxa"/>
            <w:shd w:val="clear" w:color="auto" w:fill="FFFFFF"/>
            <w:noWrap w:val="0"/>
            <w:vAlign w:val="top"/>
          </w:tcPr>
          <w:p w14:paraId="6F93E4AD">
            <w:pPr>
              <w:keepNext w:val="0"/>
              <w:keepLines w:val="0"/>
              <w:pageBreakBefore w:val="0"/>
              <w:widowControl w:val="0"/>
              <w:spacing w:before="99"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 xml:space="preserve">考核内容和要求 </w:t>
            </w:r>
          </w:p>
        </w:tc>
        <w:tc>
          <w:tcPr>
            <w:tcW w:w="3497" w:type="dxa"/>
            <w:shd w:val="clear" w:color="auto" w:fill="FFFFFF"/>
            <w:noWrap w:val="0"/>
            <w:vAlign w:val="top"/>
          </w:tcPr>
          <w:p w14:paraId="567CFAD1">
            <w:pPr>
              <w:keepNext w:val="0"/>
              <w:keepLines w:val="0"/>
              <w:pageBreakBefore w:val="0"/>
              <w:widowControl w:val="0"/>
              <w:spacing w:before="99" w:after="0" w:line="300" w:lineRule="exact"/>
              <w:ind w:left="0" w:right="0"/>
              <w:jc w:val="center"/>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 xml:space="preserve">扣分标准 </w:t>
            </w:r>
          </w:p>
        </w:tc>
      </w:tr>
      <w:tr w14:paraId="7C4F2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1049" w:type="dxa"/>
            <w:shd w:val="clear" w:color="auto" w:fill="FFFFFF"/>
            <w:noWrap w:val="0"/>
            <w:vAlign w:val="top"/>
          </w:tcPr>
          <w:p w14:paraId="64069BA7">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39D46999">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08DF190E">
            <w:pPr>
              <w:keepNext w:val="0"/>
              <w:keepLines w:val="0"/>
              <w:pageBreakBefore w:val="0"/>
              <w:widowControl w:val="0"/>
              <w:spacing w:before="134"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一、</w:t>
            </w:r>
          </w:p>
          <w:p w14:paraId="508128A9">
            <w:pPr>
              <w:keepNext w:val="0"/>
              <w:keepLines w:val="0"/>
              <w:pageBreakBefore w:val="0"/>
              <w:widowControl w:val="0"/>
              <w:spacing w:before="134"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 xml:space="preserve">作业管理 </w:t>
            </w:r>
          </w:p>
        </w:tc>
        <w:tc>
          <w:tcPr>
            <w:tcW w:w="4540" w:type="dxa"/>
            <w:shd w:val="clear" w:color="auto" w:fill="FFFFFF"/>
            <w:noWrap w:val="0"/>
            <w:vAlign w:val="top"/>
          </w:tcPr>
          <w:p w14:paraId="1D43BE9E">
            <w:pPr>
              <w:keepNext w:val="0"/>
              <w:keepLines w:val="0"/>
              <w:pageBreakBefore w:val="0"/>
              <w:widowControl w:val="0"/>
              <w:spacing w:before="8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1.</w:t>
            </w:r>
            <w:r>
              <w:rPr>
                <w:rFonts w:hint="eastAsia" w:ascii="宋体" w:hAnsi="宋体" w:eastAsia="宋体" w:cs="宋体"/>
                <w:sz w:val="18"/>
                <w:szCs w:val="22"/>
                <w:lang w:val="en-US" w:eastAsia="zh-CN" w:bidi="ar-SA"/>
              </w:rPr>
              <w:t>7 小时保洁道路清扫保洁时间：早上 7：00—11:00、下午 2：00-5:00</w:t>
            </w:r>
            <w:r>
              <w:rPr>
                <w:rFonts w:hint="default" w:ascii="宋体" w:hAnsi="宋体" w:eastAsia="宋体" w:cs="宋体"/>
                <w:sz w:val="18"/>
                <w:szCs w:val="22"/>
                <w:lang w:val="en-US" w:eastAsia="zh-CN" w:bidi="ar-SA"/>
              </w:rPr>
              <w:t xml:space="preserve">。 </w:t>
            </w:r>
          </w:p>
          <w:p w14:paraId="2E0F87F0">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eastAsia" w:ascii="宋体" w:hAnsi="宋体" w:eastAsia="宋体" w:cs="宋体"/>
                <w:sz w:val="18"/>
                <w:szCs w:val="22"/>
                <w:lang w:val="en-US" w:eastAsia="zh-CN" w:bidi="ar-SA"/>
              </w:rPr>
              <w:t>2</w:t>
            </w:r>
            <w:r>
              <w:rPr>
                <w:rFonts w:hint="default" w:ascii="宋体" w:hAnsi="宋体" w:eastAsia="宋体" w:cs="宋体"/>
                <w:sz w:val="18"/>
                <w:szCs w:val="22"/>
                <w:lang w:val="en-US" w:eastAsia="zh-CN" w:bidi="ar-SA"/>
              </w:rPr>
              <w:t xml:space="preserve">.清扫作业和保洁作业合理衔接无空缺。 </w:t>
            </w:r>
          </w:p>
          <w:p w14:paraId="64C6BD68">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eastAsia" w:ascii="宋体" w:hAnsi="宋体" w:eastAsia="宋体" w:cs="宋体"/>
                <w:sz w:val="18"/>
                <w:szCs w:val="22"/>
                <w:lang w:val="en-US" w:eastAsia="zh-CN" w:bidi="ar-SA"/>
              </w:rPr>
              <w:t>3</w:t>
            </w:r>
            <w:r>
              <w:rPr>
                <w:rFonts w:hint="default" w:ascii="宋体" w:hAnsi="宋体" w:eastAsia="宋体" w:cs="宋体"/>
                <w:sz w:val="18"/>
                <w:szCs w:val="22"/>
                <w:lang w:val="en-US" w:eastAsia="zh-CN" w:bidi="ar-SA"/>
              </w:rPr>
              <w:t>.保洁员身着工作服进行作业，</w:t>
            </w:r>
            <w:r>
              <w:rPr>
                <w:rFonts w:hint="eastAsia" w:ascii="宋体" w:hAnsi="宋体" w:eastAsia="宋体" w:cs="宋体"/>
                <w:sz w:val="18"/>
                <w:szCs w:val="22"/>
                <w:lang w:val="en-US" w:eastAsia="zh-CN" w:bidi="ar-SA"/>
              </w:rPr>
              <w:t>佩戴</w:t>
            </w:r>
            <w:r>
              <w:rPr>
                <w:rFonts w:hint="default" w:ascii="宋体" w:hAnsi="宋体" w:eastAsia="宋体" w:cs="宋体"/>
                <w:sz w:val="18"/>
                <w:szCs w:val="22"/>
                <w:lang w:val="en-US" w:eastAsia="zh-CN" w:bidi="ar-SA"/>
              </w:rPr>
              <w:t xml:space="preserve">安全标志。 </w:t>
            </w:r>
          </w:p>
          <w:p w14:paraId="0CD50088">
            <w:pPr>
              <w:keepNext w:val="0"/>
              <w:keepLines w:val="0"/>
              <w:pageBreakBefore w:val="0"/>
              <w:widowControl w:val="0"/>
              <w:spacing w:before="81" w:after="0" w:line="300" w:lineRule="exact"/>
              <w:ind w:left="0" w:right="0"/>
              <w:jc w:val="left"/>
              <w:rPr>
                <w:rFonts w:hint="default" w:ascii="宋体" w:hAnsi="宋体" w:eastAsia="宋体" w:cs="宋体"/>
                <w:sz w:val="18"/>
                <w:szCs w:val="22"/>
                <w:lang w:val="en-US" w:eastAsia="en-US" w:bidi="ar-SA"/>
              </w:rPr>
            </w:pPr>
            <w:r>
              <w:rPr>
                <w:rFonts w:hint="eastAsia" w:ascii="宋体" w:hAnsi="宋体" w:eastAsia="宋体" w:cs="宋体"/>
                <w:sz w:val="18"/>
                <w:szCs w:val="22"/>
                <w:lang w:val="en-US" w:eastAsia="zh-CN" w:bidi="ar-SA"/>
              </w:rPr>
              <w:t>4</w:t>
            </w:r>
            <w:r>
              <w:rPr>
                <w:rFonts w:hint="default" w:ascii="宋体" w:hAnsi="宋体" w:eastAsia="宋体" w:cs="宋体"/>
                <w:sz w:val="18"/>
                <w:szCs w:val="22"/>
                <w:lang w:val="en-US" w:eastAsia="zh-CN" w:bidi="ar-SA"/>
              </w:rPr>
              <w:t xml:space="preserve">.保洁员工作时间不离岗、不串岗。 </w:t>
            </w:r>
          </w:p>
        </w:tc>
        <w:tc>
          <w:tcPr>
            <w:tcW w:w="3497" w:type="dxa"/>
            <w:shd w:val="clear" w:color="auto" w:fill="FFFFFF"/>
            <w:noWrap w:val="0"/>
            <w:vAlign w:val="top"/>
          </w:tcPr>
          <w:p w14:paraId="7133FB0A">
            <w:pPr>
              <w:keepNext w:val="0"/>
              <w:keepLines w:val="0"/>
              <w:pageBreakBefore w:val="0"/>
              <w:widowControl w:val="0"/>
              <w:spacing w:before="0"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1.在规定的作业时间内出现责任区域无人上岗的、串岗，每人次扣 0.2 分。 </w:t>
            </w:r>
          </w:p>
          <w:p w14:paraId="07CE244C">
            <w:pPr>
              <w:keepNext w:val="0"/>
              <w:keepLines w:val="0"/>
              <w:pageBreakBefore w:val="0"/>
              <w:widowControl w:val="0"/>
              <w:spacing w:before="1"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2.</w:t>
            </w:r>
            <w:r>
              <w:rPr>
                <w:rFonts w:hint="default" w:ascii="宋体" w:hAnsi="宋体" w:eastAsia="宋体" w:cs="宋体"/>
                <w:spacing w:val="-13"/>
                <w:sz w:val="18"/>
                <w:szCs w:val="22"/>
                <w:lang w:val="en-US" w:eastAsia="zh-CN" w:bidi="ar-SA"/>
              </w:rPr>
              <w:t xml:space="preserve">未按时完成每日清扫的，每 </w:t>
            </w:r>
            <w:r>
              <w:rPr>
                <w:rFonts w:hint="default" w:ascii="宋体" w:hAnsi="宋体" w:eastAsia="宋体" w:cs="宋体"/>
                <w:sz w:val="18"/>
                <w:szCs w:val="22"/>
                <w:lang w:val="en-US" w:eastAsia="zh-CN" w:bidi="ar-SA"/>
              </w:rPr>
              <w:t>1000</w:t>
            </w:r>
            <w:r>
              <w:rPr>
                <w:rFonts w:hint="default" w:ascii="宋体" w:hAnsi="宋体" w:eastAsia="宋体" w:cs="宋体"/>
                <w:spacing w:val="-17"/>
                <w:sz w:val="18"/>
                <w:szCs w:val="22"/>
                <w:lang w:val="en-US" w:eastAsia="zh-CN" w:bidi="ar-SA"/>
              </w:rPr>
              <w:t xml:space="preserve"> 平方米扣 </w:t>
            </w:r>
            <w:r>
              <w:rPr>
                <w:rFonts w:hint="default" w:ascii="宋体" w:hAnsi="宋体" w:eastAsia="宋体" w:cs="宋体"/>
                <w:sz w:val="18"/>
                <w:szCs w:val="22"/>
                <w:lang w:val="en-US" w:eastAsia="zh-CN" w:bidi="ar-SA"/>
              </w:rPr>
              <w:t>0.5</w:t>
            </w:r>
            <w:r>
              <w:rPr>
                <w:rFonts w:hint="default" w:ascii="宋体" w:hAnsi="宋体" w:eastAsia="宋体" w:cs="宋体"/>
                <w:spacing w:val="-47"/>
                <w:sz w:val="18"/>
                <w:szCs w:val="22"/>
                <w:lang w:val="en-US" w:eastAsia="zh-CN" w:bidi="ar-SA"/>
              </w:rPr>
              <w:t xml:space="preserve"> 分。</w:t>
            </w:r>
            <w:r>
              <w:rPr>
                <w:rFonts w:hint="default" w:ascii="宋体" w:hAnsi="宋体" w:eastAsia="宋体" w:cs="宋体"/>
                <w:sz w:val="18"/>
                <w:szCs w:val="22"/>
                <w:lang w:val="en-US" w:eastAsia="zh-CN" w:bidi="ar-SA"/>
              </w:rPr>
              <w:t xml:space="preserve"> </w:t>
            </w:r>
          </w:p>
          <w:p w14:paraId="54D3882E">
            <w:pPr>
              <w:keepNext w:val="0"/>
              <w:keepLines w:val="0"/>
              <w:pageBreakBefore w:val="0"/>
              <w:widowControl w:val="0"/>
              <w:spacing w:before="81"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3.保洁员统一着装，未穿工作服（反光服）或未</w:t>
            </w:r>
            <w:r>
              <w:rPr>
                <w:rFonts w:hint="eastAsia" w:ascii="宋体" w:hAnsi="宋体" w:eastAsia="宋体" w:cs="宋体"/>
                <w:sz w:val="18"/>
                <w:szCs w:val="22"/>
                <w:lang w:val="en-US" w:eastAsia="zh-CN" w:bidi="ar-SA"/>
              </w:rPr>
              <w:t>佩戴</w:t>
            </w:r>
            <w:r>
              <w:rPr>
                <w:rFonts w:hint="default" w:ascii="宋体" w:hAnsi="宋体" w:eastAsia="宋体" w:cs="宋体"/>
                <w:sz w:val="18"/>
                <w:szCs w:val="22"/>
                <w:lang w:val="en-US" w:eastAsia="zh-CN" w:bidi="ar-SA"/>
              </w:rPr>
              <w:t xml:space="preserve">上岗证安全标志的，每人次扣 0.5 分。 </w:t>
            </w:r>
          </w:p>
        </w:tc>
      </w:tr>
      <w:tr w14:paraId="42A56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9" w:type="dxa"/>
            <w:vMerge w:val="restart"/>
            <w:shd w:val="clear" w:color="auto" w:fill="FFFFFF"/>
            <w:noWrap w:val="0"/>
            <w:vAlign w:val="top"/>
          </w:tcPr>
          <w:p w14:paraId="1C6CDC28">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35D8CCF6">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6280698F">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3C57A8A1">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6F159621">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54463975">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745A0717">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667D353A">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2FAFAA83">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6DDA0E46">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180B7675">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2C9A46B5">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2011D6C5">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55C4F031">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387E9430">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32C618AA">
            <w:pPr>
              <w:keepNext w:val="0"/>
              <w:keepLines w:val="0"/>
              <w:pageBreakBefore w:val="0"/>
              <w:widowControl w:val="0"/>
              <w:spacing w:before="0" w:after="0" w:line="300" w:lineRule="exact"/>
              <w:ind w:left="0" w:right="0"/>
              <w:jc w:val="left"/>
              <w:rPr>
                <w:rFonts w:hint="default" w:ascii="宋体" w:hAnsi="宋体" w:eastAsia="宋体" w:cs="宋体"/>
                <w:b/>
                <w:sz w:val="20"/>
                <w:szCs w:val="22"/>
                <w:lang w:val="en-US" w:eastAsia="en-US" w:bidi="ar-SA"/>
              </w:rPr>
            </w:pPr>
          </w:p>
          <w:p w14:paraId="68D42117">
            <w:pPr>
              <w:keepNext w:val="0"/>
              <w:keepLines w:val="0"/>
              <w:pageBreakBefore w:val="0"/>
              <w:widowControl w:val="0"/>
              <w:spacing w:before="156"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b/>
                <w:sz w:val="21"/>
                <w:szCs w:val="22"/>
                <w:lang w:val="en-US" w:eastAsia="zh-CN" w:bidi="ar-SA"/>
              </w:rPr>
              <w:t>二、路面</w:t>
            </w:r>
            <w:r>
              <w:rPr>
                <w:rFonts w:hint="default" w:ascii="宋体" w:hAnsi="宋体" w:eastAsia="宋体" w:cs="宋体"/>
                <w:sz w:val="18"/>
                <w:szCs w:val="22"/>
                <w:lang w:val="en-US" w:eastAsia="zh-CN" w:bidi="ar-SA"/>
              </w:rPr>
              <w:t xml:space="preserve"> </w:t>
            </w:r>
          </w:p>
        </w:tc>
        <w:tc>
          <w:tcPr>
            <w:tcW w:w="4540" w:type="dxa"/>
            <w:shd w:val="clear" w:color="auto" w:fill="FFFFFF"/>
            <w:noWrap w:val="0"/>
            <w:vAlign w:val="top"/>
          </w:tcPr>
          <w:p w14:paraId="21335A3D">
            <w:pPr>
              <w:keepNext w:val="0"/>
              <w:keepLines w:val="0"/>
              <w:pageBreakBefore w:val="0"/>
              <w:widowControl w:val="0"/>
              <w:spacing w:before="38" w:after="0" w:line="300" w:lineRule="exact"/>
              <w:ind w:left="0" w:right="0"/>
              <w:jc w:val="left"/>
              <w:rPr>
                <w:rFonts w:hint="eastAsia" w:ascii="宋体" w:hAnsi="宋体" w:eastAsia="宋体" w:cs="宋体"/>
                <w:sz w:val="18"/>
                <w:szCs w:val="22"/>
                <w:lang w:val="en-US" w:eastAsia="zh-CN" w:bidi="ar-SA"/>
              </w:rPr>
            </w:pPr>
            <w:r>
              <w:rPr>
                <w:rFonts w:hint="default" w:ascii="宋体" w:hAnsi="宋体" w:eastAsia="宋体" w:cs="宋体"/>
                <w:spacing w:val="-5"/>
                <w:sz w:val="18"/>
                <w:szCs w:val="22"/>
                <w:lang w:val="en-US" w:eastAsia="zh-CN" w:bidi="ar-SA"/>
              </w:rPr>
              <w:t>清扫保洁人员必须全方位清扫，路面见本色，不花扫、不漏</w:t>
            </w:r>
            <w:r>
              <w:rPr>
                <w:rFonts w:hint="default" w:ascii="宋体" w:hAnsi="宋体" w:eastAsia="宋体" w:cs="宋体"/>
                <w:spacing w:val="-13"/>
                <w:sz w:val="18"/>
                <w:szCs w:val="22"/>
                <w:lang w:val="en-US" w:eastAsia="zh-CN" w:bidi="ar-SA"/>
              </w:rPr>
              <w:t>扫，做到“五净八无”</w:t>
            </w:r>
            <w:r>
              <w:rPr>
                <w:rFonts w:hint="eastAsia" w:ascii="宋体" w:hAnsi="宋体" w:eastAsia="宋体" w:cs="宋体"/>
                <w:spacing w:val="-13"/>
                <w:sz w:val="18"/>
                <w:szCs w:val="22"/>
                <w:lang w:val="en-US" w:eastAsia="zh-CN" w:bidi="ar-SA"/>
              </w:rPr>
              <w:t>（</w:t>
            </w:r>
            <w:r>
              <w:rPr>
                <w:rFonts w:hint="default" w:ascii="宋体" w:hAnsi="宋体" w:eastAsia="宋体" w:cs="宋体"/>
                <w:sz w:val="18"/>
                <w:szCs w:val="22"/>
                <w:lang w:val="en-US" w:eastAsia="zh-CN" w:bidi="ar-SA"/>
              </w:rPr>
              <w:t>即进水井、人字沟、人行道树坑、</w:t>
            </w:r>
            <w:r>
              <w:rPr>
                <w:rFonts w:hint="default" w:ascii="宋体" w:hAnsi="宋体" w:eastAsia="宋体" w:cs="宋体"/>
                <w:spacing w:val="-15"/>
                <w:sz w:val="18"/>
                <w:szCs w:val="22"/>
                <w:lang w:val="en-US" w:eastAsia="zh-CN" w:bidi="ar-SA"/>
              </w:rPr>
              <w:t>墙根、环卫设施净；无果皮纸屑、无污水污物、无人畜粪便、</w:t>
            </w:r>
            <w:r>
              <w:rPr>
                <w:rFonts w:hint="default" w:ascii="宋体" w:hAnsi="宋体" w:eastAsia="宋体" w:cs="宋体"/>
                <w:spacing w:val="-13"/>
                <w:sz w:val="18"/>
                <w:szCs w:val="22"/>
                <w:lang w:val="en-US" w:eastAsia="zh-CN" w:bidi="ar-SA"/>
              </w:rPr>
              <w:t>无砖块碎石、无淤泥带、无废弃物、无卫生死角、无乱贴乱</w:t>
            </w:r>
            <w:r>
              <w:rPr>
                <w:rFonts w:hint="default" w:ascii="宋体" w:hAnsi="宋体" w:eastAsia="宋体" w:cs="宋体"/>
                <w:sz w:val="18"/>
                <w:szCs w:val="22"/>
                <w:lang w:val="en-US" w:eastAsia="zh-CN" w:bidi="ar-SA"/>
              </w:rPr>
              <w:t>画</w:t>
            </w:r>
            <w:r>
              <w:rPr>
                <w:rFonts w:hint="eastAsia" w:ascii="宋体" w:hAnsi="宋体" w:eastAsia="宋体" w:cs="宋体"/>
                <w:sz w:val="18"/>
                <w:szCs w:val="22"/>
                <w:lang w:val="en-US" w:eastAsia="zh-CN" w:bidi="ar-SA"/>
              </w:rPr>
              <w:t>）</w:t>
            </w:r>
          </w:p>
        </w:tc>
        <w:tc>
          <w:tcPr>
            <w:tcW w:w="3497" w:type="dxa"/>
            <w:shd w:val="clear" w:color="auto" w:fill="FFFFFF"/>
            <w:noWrap w:val="0"/>
            <w:vAlign w:val="top"/>
          </w:tcPr>
          <w:p w14:paraId="1B86A3F1">
            <w:pPr>
              <w:keepNext w:val="0"/>
              <w:keepLines w:val="0"/>
              <w:pageBreakBefore w:val="0"/>
              <w:widowControl w:val="0"/>
              <w:spacing w:before="0" w:after="0" w:line="300" w:lineRule="exact"/>
              <w:ind w:left="0" w:right="0"/>
              <w:jc w:val="left"/>
              <w:rPr>
                <w:rFonts w:hint="default" w:ascii="宋体" w:hAnsi="宋体" w:eastAsia="宋体" w:cs="宋体"/>
                <w:b/>
                <w:sz w:val="18"/>
                <w:szCs w:val="22"/>
                <w:lang w:val="en-US" w:eastAsia="en-US" w:bidi="ar-SA"/>
              </w:rPr>
            </w:pPr>
          </w:p>
          <w:p w14:paraId="0B649DAA">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1.每发现一处违反“五净八无”情况的扣 0.2 分。 </w:t>
            </w:r>
          </w:p>
        </w:tc>
      </w:tr>
      <w:tr w14:paraId="19F3F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jc w:val="center"/>
        </w:trPr>
        <w:tc>
          <w:tcPr>
            <w:tcW w:w="1049" w:type="dxa"/>
            <w:vMerge w:val="continue"/>
            <w:shd w:val="clear" w:color="auto" w:fill="FFFFFF"/>
            <w:noWrap w:val="0"/>
            <w:vAlign w:val="top"/>
          </w:tcPr>
          <w:p w14:paraId="37A5080A">
            <w:pPr>
              <w:keepNext w:val="0"/>
              <w:keepLines w:val="0"/>
              <w:pageBreakBefore w:val="0"/>
              <w:widowControl w:val="0"/>
              <w:spacing w:line="300" w:lineRule="exact"/>
              <w:ind w:left="0" w:right="0"/>
              <w:jc w:val="both"/>
              <w:rPr>
                <w:rFonts w:hint="default" w:ascii="Times New Roman" w:hAnsi="Times New Roman" w:eastAsia="Times New Roman" w:cs="Times New Roman"/>
                <w:b/>
                <w:sz w:val="2"/>
                <w:szCs w:val="2"/>
                <w:lang w:val="en-US" w:eastAsia="zh-CN" w:bidi="ar-SA"/>
              </w:rPr>
            </w:pPr>
          </w:p>
        </w:tc>
        <w:tc>
          <w:tcPr>
            <w:tcW w:w="4540" w:type="dxa"/>
            <w:shd w:val="clear" w:color="auto" w:fill="FFFFFF"/>
            <w:noWrap w:val="0"/>
            <w:vAlign w:val="top"/>
          </w:tcPr>
          <w:p w14:paraId="7BF3C660">
            <w:pPr>
              <w:keepNext w:val="0"/>
              <w:keepLines w:val="0"/>
              <w:pageBreakBefore w:val="0"/>
              <w:widowControl w:val="0"/>
              <w:numPr>
                <w:ilvl w:val="0"/>
                <w:numId w:val="5"/>
              </w:numPr>
              <w:spacing w:before="40" w:after="0" w:line="300" w:lineRule="exact"/>
              <w:ind w:left="0" w:right="0"/>
              <w:jc w:val="left"/>
              <w:rPr>
                <w:rFonts w:hint="default" w:ascii="宋体" w:hAnsi="宋体" w:eastAsia="宋体" w:cs="宋体"/>
                <w:spacing w:val="-9"/>
                <w:sz w:val="18"/>
                <w:szCs w:val="22"/>
                <w:lang w:val="en-US" w:eastAsia="en-US" w:bidi="ar-SA"/>
              </w:rPr>
            </w:pPr>
            <w:r>
              <w:rPr>
                <w:rFonts w:hint="default" w:ascii="宋体" w:hAnsi="宋体" w:eastAsia="宋体" w:cs="宋体"/>
                <w:sz w:val="18"/>
                <w:szCs w:val="22"/>
                <w:lang w:val="en-US" w:eastAsia="zh-CN" w:bidi="ar-SA"/>
              </w:rPr>
              <w:t>绿化带内（及各路段）</w:t>
            </w:r>
            <w:r>
              <w:rPr>
                <w:rFonts w:hint="default" w:ascii="宋体" w:hAnsi="宋体" w:eastAsia="宋体" w:cs="宋体"/>
                <w:spacing w:val="-2"/>
                <w:sz w:val="18"/>
                <w:szCs w:val="22"/>
                <w:lang w:val="en-US" w:eastAsia="zh-CN" w:bidi="ar-SA"/>
              </w:rPr>
              <w:t>无施工弃料、建筑垃圾、漂浮物、</w:t>
            </w:r>
            <w:r>
              <w:rPr>
                <w:rFonts w:hint="default" w:ascii="宋体" w:hAnsi="宋体" w:eastAsia="宋体" w:cs="宋体"/>
                <w:spacing w:val="-9"/>
                <w:sz w:val="18"/>
                <w:szCs w:val="22"/>
                <w:lang w:val="en-US" w:eastAsia="zh-CN" w:bidi="ar-SA"/>
              </w:rPr>
              <w:t>石块、灰沙等杂物。道路路面无垃圾杂物、无积水积泥、油污、无痰迹烟蒂、无果皮纸屑、无土石杂草等。</w:t>
            </w:r>
          </w:p>
          <w:p w14:paraId="29407CAB">
            <w:pPr>
              <w:keepNext w:val="0"/>
              <w:keepLines w:val="0"/>
              <w:pageBreakBefore w:val="0"/>
              <w:widowControl w:val="0"/>
              <w:numPr>
                <w:ilvl w:val="0"/>
                <w:numId w:val="0"/>
              </w:numPr>
              <w:spacing w:before="40" w:after="0" w:line="300" w:lineRule="exact"/>
              <w:ind w:left="0" w:right="0" w:firstLine="0"/>
              <w:jc w:val="left"/>
              <w:rPr>
                <w:rFonts w:hint="default" w:ascii="宋体" w:hAnsi="宋体" w:eastAsia="宋体" w:cs="宋体"/>
                <w:sz w:val="18"/>
                <w:szCs w:val="22"/>
                <w:lang w:val="en-US" w:eastAsia="en-US" w:bidi="ar-SA"/>
              </w:rPr>
            </w:pPr>
            <w:r>
              <w:rPr>
                <w:rFonts w:hint="default" w:ascii="宋体" w:hAnsi="宋体" w:eastAsia="宋体" w:cs="宋体"/>
                <w:spacing w:val="-9"/>
                <w:sz w:val="18"/>
                <w:szCs w:val="22"/>
                <w:lang w:val="en-US" w:eastAsia="zh-CN" w:bidi="ar-SA"/>
              </w:rPr>
              <w:t xml:space="preserve"> 2.</w:t>
            </w:r>
            <w:r>
              <w:rPr>
                <w:rFonts w:hint="default" w:ascii="宋体" w:hAnsi="宋体" w:eastAsia="宋体" w:cs="宋体"/>
                <w:spacing w:val="-12"/>
                <w:sz w:val="18"/>
                <w:szCs w:val="22"/>
                <w:lang w:val="en-US" w:eastAsia="zh-CN" w:bidi="ar-SA"/>
              </w:rPr>
              <w:t xml:space="preserve">绿化带内杂草应当至少每 </w:t>
            </w:r>
            <w:r>
              <w:rPr>
                <w:rFonts w:hint="default" w:ascii="宋体" w:hAnsi="宋体" w:eastAsia="宋体" w:cs="宋体"/>
                <w:sz w:val="18"/>
                <w:szCs w:val="22"/>
                <w:lang w:val="en-US" w:eastAsia="zh-CN" w:bidi="ar-SA"/>
              </w:rPr>
              <w:t>15</w:t>
            </w:r>
            <w:r>
              <w:rPr>
                <w:rFonts w:hint="default" w:ascii="宋体" w:hAnsi="宋体" w:eastAsia="宋体" w:cs="宋体"/>
                <w:spacing w:val="-7"/>
                <w:sz w:val="18"/>
                <w:szCs w:val="22"/>
                <w:lang w:val="en-US" w:eastAsia="zh-CN" w:bidi="ar-SA"/>
              </w:rPr>
              <w:t xml:space="preserve"> 天清理一次，保持可视范围</w:t>
            </w:r>
            <w:r>
              <w:rPr>
                <w:rFonts w:hint="default" w:ascii="宋体" w:hAnsi="宋体" w:eastAsia="宋体" w:cs="宋体"/>
                <w:sz w:val="18"/>
                <w:szCs w:val="22"/>
                <w:lang w:val="en-US" w:eastAsia="zh-CN" w:bidi="ar-SA"/>
              </w:rPr>
              <w:t xml:space="preserve">内无明显杂草。 </w:t>
            </w:r>
          </w:p>
        </w:tc>
        <w:tc>
          <w:tcPr>
            <w:tcW w:w="3497" w:type="dxa"/>
            <w:shd w:val="clear" w:color="auto" w:fill="FFFFFF"/>
            <w:noWrap w:val="0"/>
            <w:vAlign w:val="top"/>
          </w:tcPr>
          <w:p w14:paraId="682D7048">
            <w:pPr>
              <w:keepNext w:val="0"/>
              <w:keepLines w:val="0"/>
              <w:pageBreakBefore w:val="0"/>
              <w:widowControl w:val="0"/>
              <w:spacing w:before="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1.每发现一处堆积杂物、垃圾等情况的扣 0.2 分； </w:t>
            </w:r>
          </w:p>
          <w:p w14:paraId="11D4733F">
            <w:pPr>
              <w:keepNext w:val="0"/>
              <w:keepLines w:val="0"/>
              <w:pageBreakBefore w:val="0"/>
              <w:widowControl w:val="0"/>
              <w:spacing w:before="8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2.每发现一次杂草未清理的扣 1 分。 </w:t>
            </w:r>
          </w:p>
        </w:tc>
      </w:tr>
      <w:tr w14:paraId="06209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jc w:val="center"/>
        </w:trPr>
        <w:tc>
          <w:tcPr>
            <w:tcW w:w="1049" w:type="dxa"/>
            <w:vMerge w:val="continue"/>
            <w:shd w:val="clear" w:color="auto" w:fill="FFFFFF"/>
            <w:noWrap w:val="0"/>
            <w:vAlign w:val="top"/>
          </w:tcPr>
          <w:p w14:paraId="51C142F9">
            <w:pPr>
              <w:keepNext w:val="0"/>
              <w:keepLines w:val="0"/>
              <w:pageBreakBefore w:val="0"/>
              <w:widowControl w:val="0"/>
              <w:spacing w:line="300" w:lineRule="exact"/>
              <w:ind w:left="0" w:right="0"/>
              <w:jc w:val="both"/>
              <w:rPr>
                <w:rFonts w:hint="default" w:ascii="Times New Roman" w:hAnsi="Times New Roman" w:eastAsia="Times New Roman" w:cs="Times New Roman"/>
                <w:b/>
                <w:sz w:val="2"/>
                <w:szCs w:val="2"/>
                <w:lang w:val="en-US" w:eastAsia="zh-CN" w:bidi="ar-SA"/>
              </w:rPr>
            </w:pPr>
          </w:p>
        </w:tc>
        <w:tc>
          <w:tcPr>
            <w:tcW w:w="4540" w:type="dxa"/>
            <w:shd w:val="clear" w:color="auto" w:fill="FFFFFF"/>
            <w:noWrap w:val="0"/>
            <w:vAlign w:val="top"/>
          </w:tcPr>
          <w:p w14:paraId="4F571197">
            <w:pPr>
              <w:keepNext w:val="0"/>
              <w:keepLines w:val="0"/>
              <w:pageBreakBefore w:val="0"/>
              <w:widowControl w:val="0"/>
              <w:spacing w:before="38"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1.</w:t>
            </w:r>
            <w:r>
              <w:rPr>
                <w:rFonts w:hint="default" w:ascii="宋体" w:hAnsi="宋体" w:eastAsia="宋体" w:cs="宋体"/>
                <w:spacing w:val="-7"/>
                <w:sz w:val="18"/>
                <w:szCs w:val="22"/>
                <w:lang w:val="en-US" w:eastAsia="zh-CN" w:bidi="ar-SA"/>
              </w:rPr>
              <w:t>每天应对快车道、慢车道、人行道路面，绿化带周边、窨</w:t>
            </w:r>
            <w:r>
              <w:rPr>
                <w:rFonts w:hint="default" w:ascii="宋体" w:hAnsi="宋体" w:eastAsia="宋体" w:cs="宋体"/>
                <w:spacing w:val="-11"/>
                <w:sz w:val="18"/>
                <w:szCs w:val="22"/>
                <w:lang w:val="en-US" w:eastAsia="zh-CN" w:bidi="ar-SA"/>
              </w:rPr>
              <w:t xml:space="preserve">井口进行全面清扫，不得将垃圾扫入窨井、喇叭口、绿地等场所。 </w:t>
            </w:r>
          </w:p>
          <w:p w14:paraId="08A1C8EF">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2.雨水篦应当定期清掏，确保垂直里面无垃圾。 </w:t>
            </w:r>
          </w:p>
          <w:p w14:paraId="323F12FB">
            <w:pPr>
              <w:keepNext w:val="0"/>
              <w:keepLines w:val="0"/>
              <w:pageBreakBefore w:val="0"/>
              <w:widowControl w:val="0"/>
              <w:spacing w:before="81"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3.</w:t>
            </w:r>
            <w:r>
              <w:rPr>
                <w:rFonts w:hint="default" w:ascii="宋体" w:hAnsi="宋体" w:eastAsia="宋体" w:cs="宋体"/>
                <w:spacing w:val="-8"/>
                <w:sz w:val="18"/>
                <w:szCs w:val="22"/>
                <w:lang w:val="en-US" w:eastAsia="zh-CN" w:bidi="ar-SA"/>
              </w:rPr>
              <w:t>道路路面干净，</w:t>
            </w:r>
            <w:r>
              <w:rPr>
                <w:rFonts w:hint="eastAsia" w:ascii="宋体" w:hAnsi="宋体" w:eastAsia="宋体" w:cs="宋体"/>
                <w:spacing w:val="-8"/>
                <w:sz w:val="18"/>
                <w:szCs w:val="22"/>
                <w:lang w:val="en-US" w:eastAsia="zh-CN" w:bidi="ar-SA"/>
              </w:rPr>
              <w:t>绿化带</w:t>
            </w:r>
            <w:r>
              <w:rPr>
                <w:rFonts w:hint="default" w:ascii="宋体" w:hAnsi="宋体" w:eastAsia="宋体" w:cs="宋体"/>
                <w:spacing w:val="-8"/>
                <w:sz w:val="18"/>
                <w:szCs w:val="22"/>
                <w:lang w:val="en-US" w:eastAsia="zh-CN" w:bidi="ar-SA"/>
              </w:rPr>
              <w:t xml:space="preserve">、树圈内干净无杂物，边角路牙侧石、交通护栏等公共设施周边干净，无明显灰沙。 </w:t>
            </w:r>
          </w:p>
          <w:p w14:paraId="6622D12F">
            <w:pPr>
              <w:keepNext w:val="0"/>
              <w:keepLines w:val="0"/>
              <w:pageBreakBefore w:val="0"/>
              <w:widowControl w:val="0"/>
              <w:spacing w:before="2"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4.</w:t>
            </w:r>
            <w:r>
              <w:rPr>
                <w:rFonts w:hint="default" w:ascii="宋体" w:hAnsi="宋体" w:eastAsia="宋体" w:cs="宋体"/>
                <w:spacing w:val="-5"/>
                <w:sz w:val="18"/>
                <w:szCs w:val="22"/>
                <w:lang w:val="en-US" w:eastAsia="zh-CN" w:bidi="ar-SA"/>
              </w:rPr>
              <w:t>道路隔离设施底部无散落垃圾和明显尘土，道路两侧建筑</w:t>
            </w:r>
            <w:r>
              <w:rPr>
                <w:rFonts w:hint="default" w:ascii="宋体" w:hAnsi="宋体" w:eastAsia="宋体" w:cs="宋体"/>
                <w:spacing w:val="-10"/>
                <w:sz w:val="18"/>
                <w:szCs w:val="22"/>
                <w:lang w:val="en-US" w:eastAsia="zh-CN" w:bidi="ar-SA"/>
              </w:rPr>
              <w:t>物两米以下外墙无乱张贴、乱涂写和破损标语，道路两侧路</w:t>
            </w:r>
          </w:p>
          <w:p w14:paraId="50A37837">
            <w:pPr>
              <w:keepNext w:val="0"/>
              <w:keepLines w:val="0"/>
              <w:pageBreakBefore w:val="0"/>
              <w:widowControl w:val="0"/>
              <w:spacing w:before="1"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指路牌、路灯等牌杆两米以下部分无污迹、积尘。 </w:t>
            </w:r>
          </w:p>
        </w:tc>
        <w:tc>
          <w:tcPr>
            <w:tcW w:w="3497" w:type="dxa"/>
            <w:shd w:val="clear" w:color="auto" w:fill="FFFFFF"/>
            <w:noWrap w:val="0"/>
            <w:vAlign w:val="top"/>
          </w:tcPr>
          <w:p w14:paraId="0663E0D7">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1.每发现一次乱堆放垃圾等情况的扣 0.2 分； </w:t>
            </w:r>
          </w:p>
          <w:p w14:paraId="75C6CA19">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2.每发现一次雨水篦未及时清掏的扣 0.2 分； </w:t>
            </w:r>
          </w:p>
          <w:p w14:paraId="0F652496">
            <w:pPr>
              <w:keepNext w:val="0"/>
              <w:keepLines w:val="0"/>
              <w:pageBreakBefore w:val="0"/>
              <w:widowControl w:val="0"/>
              <w:spacing w:before="8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3.每发现</w:t>
            </w:r>
            <w:r>
              <w:rPr>
                <w:rFonts w:hint="eastAsia" w:ascii="宋体" w:hAnsi="宋体" w:eastAsia="宋体" w:cs="宋体"/>
                <w:sz w:val="18"/>
                <w:szCs w:val="22"/>
                <w:lang w:val="en-US" w:eastAsia="zh-CN" w:bidi="ar-SA"/>
              </w:rPr>
              <w:t>一处</w:t>
            </w:r>
            <w:r>
              <w:rPr>
                <w:rFonts w:hint="default" w:ascii="宋体" w:hAnsi="宋体" w:eastAsia="宋体" w:cs="宋体"/>
                <w:sz w:val="18"/>
                <w:szCs w:val="22"/>
                <w:lang w:val="en-US" w:eastAsia="zh-CN" w:bidi="ar-SA"/>
              </w:rPr>
              <w:t xml:space="preserve">道路隔离设施有垃圾和尘土的扣 0.2 分； </w:t>
            </w:r>
          </w:p>
          <w:p w14:paraId="6308E743">
            <w:pPr>
              <w:keepNext w:val="0"/>
              <w:keepLines w:val="0"/>
              <w:pageBreakBefore w:val="0"/>
              <w:widowControl w:val="0"/>
              <w:spacing w:before="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4.每发现一次道路两侧建筑物两米以下外墙有乱张贴等情况的扣 0.2 分。 </w:t>
            </w:r>
          </w:p>
        </w:tc>
      </w:tr>
      <w:tr w14:paraId="3EDFE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049" w:type="dxa"/>
            <w:vMerge w:val="continue"/>
            <w:shd w:val="clear" w:color="auto" w:fill="FFFFFF"/>
            <w:noWrap w:val="0"/>
            <w:vAlign w:val="top"/>
          </w:tcPr>
          <w:p w14:paraId="7B4F94D1">
            <w:pPr>
              <w:keepNext w:val="0"/>
              <w:keepLines w:val="0"/>
              <w:pageBreakBefore w:val="0"/>
              <w:widowControl w:val="0"/>
              <w:spacing w:line="300" w:lineRule="exact"/>
              <w:ind w:left="0" w:right="0"/>
              <w:jc w:val="both"/>
              <w:rPr>
                <w:rFonts w:hint="default" w:ascii="Times New Roman" w:hAnsi="Times New Roman" w:eastAsia="Times New Roman" w:cs="Times New Roman"/>
                <w:b/>
                <w:sz w:val="2"/>
                <w:szCs w:val="2"/>
                <w:lang w:val="en-US" w:eastAsia="zh-CN" w:bidi="ar-SA"/>
              </w:rPr>
            </w:pPr>
          </w:p>
        </w:tc>
        <w:tc>
          <w:tcPr>
            <w:tcW w:w="4540" w:type="dxa"/>
            <w:shd w:val="clear" w:color="auto" w:fill="FFFFFF"/>
            <w:noWrap w:val="0"/>
            <w:vAlign w:val="top"/>
          </w:tcPr>
          <w:p w14:paraId="4AF86333">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1.对承包区域内出现的偷倒生活垃圾、建筑垃圾和破坏市容环卫设施等行为，应做到及时发现，及时汇报，及时清除。2.对承包区域内出现无主的施工弃料或无主的沙石、杂物等</w:t>
            </w:r>
          </w:p>
          <w:p w14:paraId="18D39056">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进行及时清理。 </w:t>
            </w:r>
          </w:p>
        </w:tc>
        <w:tc>
          <w:tcPr>
            <w:tcW w:w="3497" w:type="dxa"/>
            <w:shd w:val="clear" w:color="auto" w:fill="FFFFFF"/>
            <w:noWrap w:val="0"/>
            <w:vAlign w:val="top"/>
          </w:tcPr>
          <w:p w14:paraId="4ABB0FC0">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1.每发现一次无主垃圾大量堆积情况的扣 0.5 分。 </w:t>
            </w:r>
          </w:p>
        </w:tc>
      </w:tr>
      <w:tr w14:paraId="5F24C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1049" w:type="dxa"/>
            <w:vMerge w:val="continue"/>
            <w:shd w:val="clear" w:color="auto" w:fill="FFFFFF"/>
            <w:noWrap w:val="0"/>
            <w:vAlign w:val="top"/>
          </w:tcPr>
          <w:p w14:paraId="2D0C704D">
            <w:pPr>
              <w:keepNext w:val="0"/>
              <w:keepLines w:val="0"/>
              <w:pageBreakBefore w:val="0"/>
              <w:widowControl w:val="0"/>
              <w:spacing w:line="300" w:lineRule="exact"/>
              <w:ind w:left="0" w:right="0"/>
              <w:jc w:val="both"/>
              <w:rPr>
                <w:rFonts w:hint="default" w:ascii="Times New Roman" w:hAnsi="Times New Roman" w:eastAsia="Times New Roman" w:cs="Times New Roman"/>
                <w:b/>
                <w:sz w:val="2"/>
                <w:szCs w:val="2"/>
                <w:lang w:val="en-US" w:eastAsia="zh-CN" w:bidi="ar-SA"/>
              </w:rPr>
            </w:pPr>
          </w:p>
        </w:tc>
        <w:tc>
          <w:tcPr>
            <w:tcW w:w="4540" w:type="dxa"/>
            <w:shd w:val="clear" w:color="auto" w:fill="FFFFFF"/>
            <w:noWrap w:val="0"/>
            <w:vAlign w:val="top"/>
          </w:tcPr>
          <w:p w14:paraId="151C67B4">
            <w:pPr>
              <w:keepNext w:val="0"/>
              <w:keepLines w:val="0"/>
              <w:pageBreakBefore w:val="0"/>
              <w:widowControl w:val="0"/>
              <w:spacing w:before="126"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合同规定范围内无“牛皮癣”、乱张贴。 </w:t>
            </w:r>
          </w:p>
        </w:tc>
        <w:tc>
          <w:tcPr>
            <w:tcW w:w="3497" w:type="dxa"/>
            <w:shd w:val="clear" w:color="auto" w:fill="FFFFFF"/>
            <w:noWrap w:val="0"/>
            <w:vAlign w:val="top"/>
          </w:tcPr>
          <w:p w14:paraId="02F63860">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1.</w:t>
            </w:r>
            <w:r>
              <w:rPr>
                <w:rFonts w:hint="default" w:ascii="宋体" w:hAnsi="宋体" w:eastAsia="宋体" w:cs="宋体"/>
                <w:spacing w:val="-10"/>
                <w:sz w:val="18"/>
                <w:szCs w:val="22"/>
                <w:lang w:val="en-US" w:eastAsia="zh-CN" w:bidi="ar-SA"/>
              </w:rPr>
              <w:t xml:space="preserve">每发现一处“牛皮癣”扣 </w:t>
            </w:r>
            <w:r>
              <w:rPr>
                <w:rFonts w:hint="default" w:ascii="宋体" w:hAnsi="宋体" w:eastAsia="宋体" w:cs="宋体"/>
                <w:sz w:val="18"/>
                <w:szCs w:val="22"/>
                <w:lang w:val="en-US" w:eastAsia="zh-CN" w:bidi="ar-SA"/>
              </w:rPr>
              <w:t>0.1</w:t>
            </w:r>
            <w:r>
              <w:rPr>
                <w:rFonts w:hint="default" w:ascii="宋体" w:hAnsi="宋体" w:eastAsia="宋体" w:cs="宋体"/>
                <w:spacing w:val="-13"/>
                <w:sz w:val="18"/>
                <w:szCs w:val="22"/>
                <w:lang w:val="en-US" w:eastAsia="zh-CN" w:bidi="ar-SA"/>
              </w:rPr>
              <w:t xml:space="preserve"> 分，每发现一处有 </w:t>
            </w:r>
            <w:r>
              <w:rPr>
                <w:rFonts w:hint="default" w:ascii="宋体" w:hAnsi="宋体" w:eastAsia="宋体" w:cs="宋体"/>
                <w:sz w:val="18"/>
                <w:szCs w:val="22"/>
                <w:lang w:val="en-US" w:eastAsia="zh-CN" w:bidi="ar-SA"/>
              </w:rPr>
              <w:t xml:space="preserve">5个以上成片“牛皮癣”扣 0.5 分。 </w:t>
            </w:r>
          </w:p>
          <w:p w14:paraId="72045F99">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2.</w:t>
            </w:r>
            <w:r>
              <w:rPr>
                <w:rFonts w:hint="default" w:ascii="宋体" w:hAnsi="宋体" w:eastAsia="宋体" w:cs="宋体"/>
                <w:spacing w:val="-5"/>
                <w:sz w:val="18"/>
                <w:szCs w:val="22"/>
                <w:lang w:val="en-US" w:eastAsia="zh-CN" w:bidi="ar-SA"/>
              </w:rPr>
              <w:t xml:space="preserve">每发现一处不同色或不规范清理覆盖，扣 </w:t>
            </w:r>
            <w:r>
              <w:rPr>
                <w:rFonts w:hint="default" w:ascii="宋体" w:hAnsi="宋体" w:eastAsia="宋体" w:cs="宋体"/>
                <w:sz w:val="18"/>
                <w:szCs w:val="22"/>
                <w:lang w:val="en-US" w:eastAsia="zh-CN" w:bidi="ar-SA"/>
              </w:rPr>
              <w:t>0.1</w:t>
            </w:r>
            <w:r>
              <w:rPr>
                <w:rFonts w:hint="default" w:ascii="宋体" w:hAnsi="宋体" w:eastAsia="宋体" w:cs="宋体"/>
                <w:spacing w:val="-46"/>
                <w:sz w:val="18"/>
                <w:szCs w:val="22"/>
                <w:lang w:val="en-US" w:eastAsia="zh-CN" w:bidi="ar-SA"/>
              </w:rPr>
              <w:t xml:space="preserve"> 分。</w:t>
            </w:r>
            <w:r>
              <w:rPr>
                <w:rFonts w:hint="default" w:ascii="宋体" w:hAnsi="宋体" w:eastAsia="宋体" w:cs="宋体"/>
                <w:sz w:val="18"/>
                <w:szCs w:val="22"/>
                <w:lang w:val="en-US" w:eastAsia="zh-CN" w:bidi="ar-SA"/>
              </w:rPr>
              <w:t xml:space="preserve"> </w:t>
            </w:r>
          </w:p>
          <w:p w14:paraId="101A9CCA">
            <w:pPr>
              <w:keepNext w:val="0"/>
              <w:keepLines w:val="0"/>
              <w:pageBreakBefore w:val="0"/>
              <w:widowControl w:val="0"/>
              <w:spacing w:before="81" w:after="0" w:line="300" w:lineRule="exact"/>
              <w:ind w:left="0" w:right="0"/>
              <w:jc w:val="left"/>
              <w:rPr>
                <w:rFonts w:hint="default" w:ascii="宋体" w:hAnsi="宋体" w:eastAsia="宋体" w:cs="宋体"/>
                <w:spacing w:val="-17"/>
                <w:sz w:val="18"/>
                <w:szCs w:val="22"/>
                <w:lang w:val="en-US" w:eastAsia="en-US" w:bidi="ar-SA"/>
              </w:rPr>
            </w:pPr>
            <w:r>
              <w:rPr>
                <w:rFonts w:hint="default" w:ascii="宋体" w:hAnsi="宋体" w:eastAsia="宋体" w:cs="宋体"/>
                <w:sz w:val="18"/>
                <w:szCs w:val="22"/>
                <w:lang w:val="en-US" w:eastAsia="zh-CN" w:bidi="ar-SA"/>
              </w:rPr>
              <w:t>3.每发现一处橱窗、墙面、玻璃等立面乱张贴，扣0.1</w:t>
            </w:r>
            <w:r>
              <w:rPr>
                <w:rFonts w:hint="default" w:ascii="宋体" w:hAnsi="宋体" w:eastAsia="宋体" w:cs="宋体"/>
                <w:spacing w:val="-10"/>
                <w:sz w:val="18"/>
                <w:szCs w:val="22"/>
                <w:lang w:val="en-US" w:eastAsia="zh-CN" w:bidi="ar-SA"/>
              </w:rPr>
              <w:t xml:space="preserve"> 分每发现一处喷涂墙体广告扣 </w:t>
            </w:r>
            <w:r>
              <w:rPr>
                <w:rFonts w:hint="default" w:ascii="宋体" w:hAnsi="宋体" w:eastAsia="宋体" w:cs="宋体"/>
                <w:sz w:val="18"/>
                <w:szCs w:val="22"/>
                <w:lang w:val="en-US" w:eastAsia="zh-CN" w:bidi="ar-SA"/>
              </w:rPr>
              <w:t>0.1</w:t>
            </w:r>
            <w:r>
              <w:rPr>
                <w:rFonts w:hint="default" w:ascii="宋体" w:hAnsi="宋体" w:eastAsia="宋体" w:cs="宋体"/>
                <w:spacing w:val="-17"/>
                <w:sz w:val="18"/>
                <w:szCs w:val="22"/>
                <w:lang w:val="en-US" w:eastAsia="zh-CN" w:bidi="ar-SA"/>
              </w:rPr>
              <w:t xml:space="preserve"> 分。</w:t>
            </w:r>
          </w:p>
          <w:p w14:paraId="5DE31032">
            <w:pPr>
              <w:keepNext w:val="0"/>
              <w:keepLines w:val="0"/>
              <w:pageBreakBefore w:val="0"/>
              <w:widowControl w:val="0"/>
              <w:spacing w:before="8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4.</w:t>
            </w:r>
            <w:r>
              <w:rPr>
                <w:rFonts w:hint="default" w:ascii="宋体" w:hAnsi="宋体" w:eastAsia="宋体" w:cs="宋体"/>
                <w:spacing w:val="-4"/>
                <w:sz w:val="18"/>
                <w:szCs w:val="22"/>
                <w:lang w:val="en-US" w:eastAsia="zh-CN" w:bidi="ar-SA"/>
              </w:rPr>
              <w:t xml:space="preserve">每发现一处有地面喷涂小广告扣 </w:t>
            </w:r>
            <w:r>
              <w:rPr>
                <w:rFonts w:hint="default" w:ascii="宋体" w:hAnsi="宋体" w:eastAsia="宋体" w:cs="宋体"/>
                <w:sz w:val="18"/>
                <w:szCs w:val="22"/>
                <w:lang w:val="en-US" w:eastAsia="zh-CN" w:bidi="ar-SA"/>
              </w:rPr>
              <w:t>0.1</w:t>
            </w:r>
            <w:r>
              <w:rPr>
                <w:rFonts w:hint="default" w:ascii="宋体" w:hAnsi="宋体" w:eastAsia="宋体" w:cs="宋体"/>
                <w:spacing w:val="-16"/>
                <w:sz w:val="18"/>
                <w:szCs w:val="22"/>
                <w:lang w:val="en-US" w:eastAsia="zh-CN" w:bidi="ar-SA"/>
              </w:rPr>
              <w:t xml:space="preserve"> 分。</w:t>
            </w:r>
            <w:r>
              <w:rPr>
                <w:rFonts w:hint="default" w:ascii="宋体" w:hAnsi="宋体" w:eastAsia="宋体" w:cs="宋体"/>
                <w:sz w:val="18"/>
                <w:szCs w:val="22"/>
                <w:lang w:val="en-US" w:eastAsia="zh-CN" w:bidi="ar-SA"/>
              </w:rPr>
              <w:t xml:space="preserve"> </w:t>
            </w:r>
          </w:p>
        </w:tc>
      </w:tr>
      <w:tr w14:paraId="5A0EC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9" w:type="dxa"/>
            <w:vMerge w:val="restart"/>
            <w:shd w:val="clear" w:color="auto" w:fill="FFFFFF"/>
            <w:noWrap w:val="0"/>
            <w:vAlign w:val="top"/>
          </w:tcPr>
          <w:p w14:paraId="2A827FB4">
            <w:pPr>
              <w:keepNext w:val="0"/>
              <w:keepLines w:val="0"/>
              <w:pageBreakBefore w:val="0"/>
              <w:widowControl w:val="0"/>
              <w:spacing w:before="22" w:after="0" w:line="300" w:lineRule="exact"/>
              <w:ind w:left="0" w:right="0"/>
              <w:jc w:val="both"/>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三、</w:t>
            </w:r>
          </w:p>
          <w:p w14:paraId="187235BE">
            <w:pPr>
              <w:keepNext w:val="0"/>
              <w:keepLines w:val="0"/>
              <w:pageBreakBefore w:val="0"/>
              <w:widowControl w:val="0"/>
              <w:spacing w:before="22"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b/>
                <w:sz w:val="21"/>
                <w:szCs w:val="22"/>
                <w:lang w:val="en-US" w:eastAsia="zh-CN" w:bidi="ar-SA"/>
              </w:rPr>
              <w:t>设施管理</w:t>
            </w:r>
            <w:r>
              <w:rPr>
                <w:rFonts w:hint="default" w:ascii="宋体" w:hAnsi="宋体" w:eastAsia="宋体" w:cs="宋体"/>
                <w:sz w:val="18"/>
                <w:szCs w:val="22"/>
                <w:lang w:val="en-US" w:eastAsia="zh-CN" w:bidi="ar-SA"/>
              </w:rPr>
              <w:t xml:space="preserve"> </w:t>
            </w:r>
          </w:p>
        </w:tc>
        <w:tc>
          <w:tcPr>
            <w:tcW w:w="4540" w:type="dxa"/>
            <w:shd w:val="clear" w:color="auto" w:fill="FFFFFF"/>
            <w:noWrap w:val="0"/>
            <w:vAlign w:val="top"/>
          </w:tcPr>
          <w:p w14:paraId="6171E0C8">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1.</w:t>
            </w:r>
            <w:r>
              <w:rPr>
                <w:rFonts w:hint="default" w:ascii="宋体" w:hAnsi="宋体" w:eastAsia="宋体" w:cs="宋体"/>
                <w:spacing w:val="-7"/>
                <w:sz w:val="18"/>
                <w:szCs w:val="22"/>
                <w:lang w:val="en-US" w:eastAsia="zh-CN" w:bidi="ar-SA"/>
              </w:rPr>
              <w:t xml:space="preserve">垃圾箱外观应整洁、无污垢，每天需清洗箱体 </w:t>
            </w:r>
            <w:r>
              <w:rPr>
                <w:rFonts w:hint="default" w:ascii="宋体" w:hAnsi="宋体" w:eastAsia="宋体" w:cs="宋体"/>
                <w:sz w:val="18"/>
                <w:szCs w:val="22"/>
                <w:lang w:val="en-US" w:eastAsia="zh-CN" w:bidi="ar-SA"/>
              </w:rPr>
              <w:t>1</w:t>
            </w:r>
            <w:r>
              <w:rPr>
                <w:rFonts w:hint="default" w:ascii="宋体" w:hAnsi="宋体" w:eastAsia="宋体" w:cs="宋体"/>
                <w:spacing w:val="-15"/>
                <w:sz w:val="18"/>
                <w:szCs w:val="22"/>
                <w:lang w:val="en-US" w:eastAsia="zh-CN" w:bidi="ar-SA"/>
              </w:rPr>
              <w:t xml:space="preserve"> 次，箱内</w:t>
            </w:r>
          </w:p>
          <w:p w14:paraId="4AD89D20">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垃圾应日产日清，无积压、满溢。 </w:t>
            </w:r>
          </w:p>
          <w:p w14:paraId="4A5C95CD">
            <w:pPr>
              <w:keepNext w:val="0"/>
              <w:keepLines w:val="0"/>
              <w:pageBreakBefore w:val="0"/>
              <w:widowControl w:val="0"/>
              <w:spacing w:before="3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2.作业工具无破损、锈迹、整洁完好。 </w:t>
            </w:r>
          </w:p>
          <w:p w14:paraId="5D8E7936">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3.不准用箩筐、编织袋装垃圾。 </w:t>
            </w:r>
          </w:p>
          <w:p w14:paraId="4F29CF99">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4.工具存放在合适位置，摆放整齐。 </w:t>
            </w:r>
          </w:p>
          <w:p w14:paraId="068911EA">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5.垃圾箱等环卫设施损坏须及时报告。 </w:t>
            </w:r>
          </w:p>
        </w:tc>
        <w:tc>
          <w:tcPr>
            <w:tcW w:w="3497" w:type="dxa"/>
            <w:shd w:val="clear" w:color="auto" w:fill="FFFFFF"/>
            <w:noWrap w:val="0"/>
            <w:vAlign w:val="top"/>
          </w:tcPr>
          <w:p w14:paraId="7B998392">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1.每发现一次垃圾箱周边垃圾多、满溢、明显不洁的，每处扣 0.1 分。 </w:t>
            </w:r>
          </w:p>
          <w:p w14:paraId="42B27F93">
            <w:pPr>
              <w:keepNext w:val="0"/>
              <w:keepLines w:val="0"/>
              <w:pageBreakBefore w:val="0"/>
              <w:widowControl w:val="0"/>
              <w:spacing w:before="3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2.每发现一次垃圾箱明显不洁、歪斜的，每个扣0.1 分。 </w:t>
            </w:r>
          </w:p>
          <w:p w14:paraId="37BBE091">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3.每发现一次作业工具摆放不整齐或放在绿化带内，每处扣 0.2 分。 </w:t>
            </w:r>
          </w:p>
          <w:p w14:paraId="2DC67D3D">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4.每发现一次垃圾箱等环卫设施损坏未及时报告</w:t>
            </w:r>
          </w:p>
          <w:p w14:paraId="692C68D2">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eastAsia" w:ascii="宋体" w:hAnsi="宋体" w:eastAsia="宋体" w:cs="宋体"/>
                <w:sz w:val="18"/>
                <w:szCs w:val="22"/>
                <w:lang w:val="en-US" w:eastAsia="zh-CN" w:bidi="ar-SA"/>
              </w:rPr>
              <w:t>，</w:t>
            </w:r>
            <w:r>
              <w:rPr>
                <w:rFonts w:hint="default" w:ascii="宋体" w:hAnsi="宋体" w:eastAsia="宋体" w:cs="宋体"/>
                <w:sz w:val="18"/>
                <w:szCs w:val="22"/>
                <w:lang w:val="en-US" w:eastAsia="zh-CN" w:bidi="ar-SA"/>
              </w:rPr>
              <w:t xml:space="preserve">每个扣 0.1 分。 </w:t>
            </w:r>
          </w:p>
        </w:tc>
      </w:tr>
      <w:tr w14:paraId="08458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049" w:type="dxa"/>
            <w:vMerge w:val="continue"/>
            <w:shd w:val="clear" w:color="auto" w:fill="FFFFFF"/>
            <w:noWrap w:val="0"/>
            <w:vAlign w:val="top"/>
          </w:tcPr>
          <w:p w14:paraId="243F4327">
            <w:pPr>
              <w:keepNext w:val="0"/>
              <w:keepLines w:val="0"/>
              <w:pageBreakBefore w:val="0"/>
              <w:widowControl w:val="0"/>
              <w:spacing w:before="0" w:after="0" w:line="300" w:lineRule="exact"/>
              <w:ind w:left="0" w:right="0"/>
              <w:jc w:val="left"/>
              <w:rPr>
                <w:rFonts w:hint="default" w:ascii="Times New Roman" w:hAnsi="宋体" w:eastAsia="宋体" w:cs="宋体"/>
                <w:sz w:val="18"/>
                <w:szCs w:val="22"/>
                <w:lang w:val="en-US" w:eastAsia="en-US" w:bidi="ar-SA"/>
              </w:rPr>
            </w:pPr>
          </w:p>
        </w:tc>
        <w:tc>
          <w:tcPr>
            <w:tcW w:w="4540" w:type="dxa"/>
            <w:shd w:val="clear" w:color="auto" w:fill="FFFFFF"/>
            <w:noWrap w:val="0"/>
            <w:vAlign w:val="top"/>
          </w:tcPr>
          <w:p w14:paraId="2B58F48C">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1.统一使用分类塑料 240L 垃圾桶（红、绿、黑、蓝）四色分类桶，定时对垃圾桶进行擦洗，确保垃圾桶外观整洁，摆放整齐，无垃圾外溢现象，垃圾桶周围无散落垃圾，每周对垃圾桶药物消杀，破损垃圾桶及时更换。 </w:t>
            </w:r>
          </w:p>
          <w:p w14:paraId="154453F9">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2.所有垃圾桶及时清理，无破损、残缺，封闭性好，无</w:t>
            </w:r>
            <w:r>
              <w:rPr>
                <w:rFonts w:hint="eastAsia" w:ascii="宋体" w:hAnsi="宋体" w:eastAsia="宋体" w:cs="宋体"/>
                <w:sz w:val="18"/>
                <w:szCs w:val="22"/>
                <w:lang w:val="en-US" w:eastAsia="zh-CN" w:bidi="ar-SA"/>
              </w:rPr>
              <w:t>胀满</w:t>
            </w:r>
            <w:r>
              <w:rPr>
                <w:rFonts w:hint="default" w:ascii="宋体" w:hAnsi="宋体" w:eastAsia="宋体" w:cs="宋体"/>
                <w:sz w:val="18"/>
                <w:szCs w:val="22"/>
                <w:lang w:val="en-US" w:eastAsia="zh-CN" w:bidi="ar-SA"/>
              </w:rPr>
              <w:t xml:space="preserve">外溢，做到日产日清，不得堆积、滞留，车走地净。 </w:t>
            </w:r>
          </w:p>
          <w:p w14:paraId="62675B9B">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3.每日至少两清掏，体表整洁，无满溢，无蚊蝇、无污水，箱周围地面应无</w:t>
            </w:r>
            <w:r>
              <w:rPr>
                <w:rFonts w:hint="eastAsia" w:ascii="宋体" w:hAnsi="宋体" w:eastAsia="宋体" w:cs="宋体"/>
                <w:sz w:val="18"/>
                <w:szCs w:val="22"/>
                <w:lang w:val="en-US" w:eastAsia="zh-CN" w:bidi="ar-SA"/>
              </w:rPr>
              <w:t>抛洒</w:t>
            </w:r>
            <w:r>
              <w:rPr>
                <w:rFonts w:hint="default" w:ascii="宋体" w:hAnsi="宋体" w:eastAsia="宋体" w:cs="宋体"/>
                <w:sz w:val="18"/>
                <w:szCs w:val="22"/>
                <w:lang w:val="en-US" w:eastAsia="zh-CN" w:bidi="ar-SA"/>
              </w:rPr>
              <w:t xml:space="preserve">、存留垃圾。 </w:t>
            </w:r>
          </w:p>
          <w:p w14:paraId="397A9F87">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4.垃圾必须按规定运输至垃圾中转站，</w:t>
            </w:r>
            <w:r>
              <w:rPr>
                <w:rFonts w:hint="eastAsia" w:ascii="宋体" w:hAnsi="宋体" w:eastAsia="宋体" w:cs="宋体"/>
                <w:sz w:val="18"/>
                <w:szCs w:val="22"/>
                <w:lang w:val="en-US" w:eastAsia="zh-CN" w:bidi="ar-SA"/>
              </w:rPr>
              <w:t>不得</w:t>
            </w:r>
            <w:r>
              <w:rPr>
                <w:rFonts w:hint="default" w:ascii="宋体" w:hAnsi="宋体" w:eastAsia="宋体" w:cs="宋体"/>
                <w:sz w:val="18"/>
                <w:szCs w:val="22"/>
                <w:lang w:val="en-US" w:eastAsia="zh-CN" w:bidi="ar-SA"/>
              </w:rPr>
              <w:t xml:space="preserve">倾倒。 </w:t>
            </w:r>
          </w:p>
        </w:tc>
        <w:tc>
          <w:tcPr>
            <w:tcW w:w="3497" w:type="dxa"/>
            <w:shd w:val="clear" w:color="auto" w:fill="FFFFFF"/>
            <w:noWrap w:val="0"/>
            <w:vAlign w:val="top"/>
          </w:tcPr>
          <w:p w14:paraId="337B179C">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1.每发现一次垃圾外溢、散落等情况的扣 0.2 分； </w:t>
            </w:r>
          </w:p>
          <w:p w14:paraId="0CA8C6B7">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2.每发现一次未按要求消杀的扣 0.5 分； </w:t>
            </w:r>
          </w:p>
          <w:p w14:paraId="43522019">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3.每发现一次可视范围内有蚊蝇、飞虫堆积等情况</w:t>
            </w:r>
          </w:p>
          <w:p w14:paraId="1DFD7F01">
            <w:pPr>
              <w:keepNext w:val="0"/>
              <w:keepLines w:val="0"/>
              <w:pageBreakBefore w:val="0"/>
              <w:widowControl w:val="0"/>
              <w:spacing w:before="4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的扣 0.2 分； </w:t>
            </w:r>
          </w:p>
          <w:p w14:paraId="5F1B4B45">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4.每发现一次垃圾随意倾倒的扣 0.2 分。 </w:t>
            </w:r>
          </w:p>
        </w:tc>
      </w:tr>
      <w:tr w14:paraId="576A9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049" w:type="dxa"/>
            <w:shd w:val="clear" w:color="auto" w:fill="FFFFFF"/>
            <w:noWrap w:val="0"/>
            <w:vAlign w:val="top"/>
          </w:tcPr>
          <w:p w14:paraId="0CC738AE">
            <w:pPr>
              <w:keepNext w:val="0"/>
              <w:keepLines w:val="0"/>
              <w:pageBreakBefore w:val="0"/>
              <w:widowControl w:val="0"/>
              <w:spacing w:before="26"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四、绿</w:t>
            </w:r>
          </w:p>
          <w:p w14:paraId="7B2BB6E1">
            <w:pPr>
              <w:keepNext w:val="0"/>
              <w:keepLines w:val="0"/>
              <w:pageBreakBefore w:val="0"/>
              <w:widowControl w:val="0"/>
              <w:spacing w:before="17"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化养护</w:t>
            </w:r>
          </w:p>
          <w:p w14:paraId="4024B730">
            <w:pPr>
              <w:keepNext w:val="0"/>
              <w:keepLines w:val="0"/>
              <w:pageBreakBefore w:val="0"/>
              <w:widowControl w:val="0"/>
              <w:spacing w:before="17"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 xml:space="preserve">管理 </w:t>
            </w:r>
          </w:p>
        </w:tc>
        <w:tc>
          <w:tcPr>
            <w:tcW w:w="4540" w:type="dxa"/>
            <w:shd w:val="clear" w:color="auto" w:fill="FFFFFF"/>
            <w:noWrap w:val="0"/>
            <w:vAlign w:val="top"/>
          </w:tcPr>
          <w:p w14:paraId="0177327F">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1.每年全范围绿化草坪、绿篱、珠形、花园修剪不低于8次，乔灌木修剪不低于 2 次（春、秋） </w:t>
            </w:r>
          </w:p>
          <w:p w14:paraId="7DB16655">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2.</w:t>
            </w:r>
            <w:r>
              <w:rPr>
                <w:rFonts w:hint="default" w:ascii="宋体" w:hAnsi="宋体" w:eastAsia="宋体" w:cs="宋体"/>
                <w:spacing w:val="-10"/>
                <w:sz w:val="18"/>
                <w:szCs w:val="22"/>
                <w:lang w:val="en-US" w:eastAsia="zh-CN" w:bidi="ar-SA"/>
              </w:rPr>
              <w:t>施肥根据</w:t>
            </w:r>
            <w:r>
              <w:rPr>
                <w:rFonts w:hint="eastAsia" w:ascii="宋体" w:hAnsi="宋体" w:eastAsia="宋体" w:cs="宋体"/>
                <w:spacing w:val="-10"/>
                <w:sz w:val="18"/>
                <w:szCs w:val="22"/>
                <w:lang w:val="en-US" w:eastAsia="zh-CN" w:bidi="ar-SA"/>
              </w:rPr>
              <w:t>苗木</w:t>
            </w:r>
            <w:r>
              <w:rPr>
                <w:rFonts w:hint="default" w:ascii="宋体" w:hAnsi="宋体" w:eastAsia="宋体" w:cs="宋体"/>
                <w:spacing w:val="-10"/>
                <w:sz w:val="18"/>
                <w:szCs w:val="22"/>
                <w:lang w:val="en-US" w:eastAsia="zh-CN" w:bidi="ar-SA"/>
              </w:rPr>
              <w:t xml:space="preserve">需求而定，每年不少于 </w:t>
            </w:r>
            <w:r>
              <w:rPr>
                <w:rFonts w:hint="default" w:ascii="宋体" w:hAnsi="宋体" w:eastAsia="宋体" w:cs="宋体"/>
                <w:sz w:val="18"/>
                <w:szCs w:val="22"/>
                <w:lang w:val="en-US" w:eastAsia="zh-CN" w:bidi="ar-SA"/>
              </w:rPr>
              <w:t>2</w:t>
            </w:r>
            <w:r>
              <w:rPr>
                <w:rFonts w:hint="default" w:ascii="宋体" w:hAnsi="宋体" w:eastAsia="宋体" w:cs="宋体"/>
                <w:spacing w:val="-7"/>
                <w:sz w:val="18"/>
                <w:szCs w:val="22"/>
                <w:lang w:val="en-US" w:eastAsia="zh-CN" w:bidi="ar-SA"/>
              </w:rPr>
              <w:t xml:space="preserve"> 次且必须根据甲</w:t>
            </w:r>
            <w:r>
              <w:rPr>
                <w:rFonts w:hint="default" w:ascii="宋体" w:hAnsi="宋体" w:eastAsia="宋体" w:cs="宋体"/>
                <w:sz w:val="18"/>
                <w:szCs w:val="22"/>
                <w:lang w:val="en-US" w:eastAsia="zh-CN" w:bidi="ar-SA"/>
              </w:rPr>
              <w:t xml:space="preserve">方要求打穴深施。 </w:t>
            </w:r>
          </w:p>
          <w:p w14:paraId="51CA8C2A">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3.负责购买农药，根据苗木、花草季节病虫害实际情况及时防治。 </w:t>
            </w:r>
          </w:p>
          <w:p w14:paraId="1A158B80">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4.所有管养的苗圃、绿地、草坪、树木等及时磨叉、除草、施肥、修剪、治虫、过冬维护，确保花草、苗木生长良好，无缺水，对倒伏苗木及时扶正加固，并保证修剪后苗木的整体艺术效果。 </w:t>
            </w:r>
          </w:p>
          <w:p w14:paraId="1A457BC6">
            <w:pPr>
              <w:keepNext w:val="0"/>
              <w:keepLines w:val="0"/>
              <w:pageBreakBefore w:val="0"/>
              <w:widowControl w:val="0"/>
              <w:spacing w:before="26"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5.负责养护过程中产生的垃圾清运，确保清理及时，整洁卫生。应同时清除碎石和杂草，有影响排水的局部区域应及时处理。 </w:t>
            </w:r>
          </w:p>
          <w:p w14:paraId="14B5F34B">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6.落实管养责任及时排水、培土、防治病虫害。发现苗木枯死的，及时上报甲方重新采购补植，并确保成活率。 </w:t>
            </w:r>
          </w:p>
          <w:p w14:paraId="3F1ECF60">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7.管养期间树木生长压到高压线或者有其他安全隐患时，需要及时处理。 </w:t>
            </w:r>
          </w:p>
        </w:tc>
        <w:tc>
          <w:tcPr>
            <w:tcW w:w="3497" w:type="dxa"/>
            <w:shd w:val="clear" w:color="auto" w:fill="FFFFFF"/>
            <w:noWrap w:val="0"/>
            <w:vAlign w:val="top"/>
          </w:tcPr>
          <w:p w14:paraId="67C20891">
            <w:pPr>
              <w:keepNext w:val="0"/>
              <w:keepLines w:val="0"/>
              <w:pageBreakBefore w:val="0"/>
              <w:widowControl w:val="0"/>
              <w:spacing w:before="0" w:after="0" w:line="300" w:lineRule="exact"/>
              <w:ind w:left="0" w:right="0"/>
              <w:jc w:val="left"/>
              <w:rPr>
                <w:rFonts w:hint="default" w:ascii="Calibri" w:hAnsi="宋体" w:eastAsia="宋体" w:cs="宋体"/>
                <w:sz w:val="18"/>
                <w:szCs w:val="22"/>
                <w:lang w:val="en-US" w:eastAsia="en-US" w:bidi="ar-SA"/>
              </w:rPr>
            </w:pPr>
          </w:p>
          <w:p w14:paraId="6CD0DBBE">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1.每发现一次绿化、灌木未修剪的扣 1 分； </w:t>
            </w:r>
          </w:p>
          <w:p w14:paraId="359E3FFF">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2.每发现一次未打穴深施的扣 1 分； </w:t>
            </w:r>
          </w:p>
          <w:p w14:paraId="0C1317B7">
            <w:pPr>
              <w:keepNext w:val="0"/>
              <w:keepLines w:val="0"/>
              <w:pageBreakBefore w:val="0"/>
              <w:widowControl w:val="0"/>
              <w:spacing w:before="8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3.每发现一次苗木、花草季节病虫害实际情况未及时防治的扣 0.5 分； </w:t>
            </w:r>
          </w:p>
          <w:p w14:paraId="2EF41681">
            <w:pPr>
              <w:keepNext w:val="0"/>
              <w:keepLines w:val="0"/>
              <w:pageBreakBefore w:val="0"/>
              <w:widowControl w:val="0"/>
              <w:spacing w:before="1"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4.每发现一次苗圃、绿地、草坪、树木等未及时磨叉、除草、施肥、修剪、治虫、过冬维护，确保花草、苗木生长良好，无缺水，对倒伏苗木及时扶正加固，并保证修剪后苗木的整体艺术效果的，每处扣 0.2 分； </w:t>
            </w:r>
          </w:p>
          <w:p w14:paraId="5C15DB61">
            <w:pPr>
              <w:keepNext w:val="0"/>
              <w:keepLines w:val="0"/>
              <w:pageBreakBefore w:val="0"/>
              <w:widowControl w:val="0"/>
              <w:spacing w:before="4"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5.每发现一次未及时清除碎石和杂草，有影响排水的局部区域的，每处扣 0.2 分； </w:t>
            </w:r>
          </w:p>
          <w:p w14:paraId="6E5435C3">
            <w:pPr>
              <w:keepNext w:val="0"/>
              <w:keepLines w:val="0"/>
              <w:pageBreakBefore w:val="0"/>
              <w:widowControl w:val="0"/>
              <w:spacing w:before="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6.每发现一次苗木枯死未及时上报补植的扣 1 分； </w:t>
            </w:r>
          </w:p>
          <w:p w14:paraId="2ABCB40E">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7.每发现一次树木生长压到高压线或者有其他安全隐患时，未及时处理的，每处扣 0.2 分。 </w:t>
            </w:r>
          </w:p>
        </w:tc>
      </w:tr>
      <w:tr w14:paraId="4765C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049" w:type="dxa"/>
            <w:vMerge w:val="restart"/>
            <w:shd w:val="clear" w:color="auto" w:fill="FFFFFF"/>
            <w:noWrap w:val="0"/>
            <w:vAlign w:val="top"/>
          </w:tcPr>
          <w:p w14:paraId="1501F6EF">
            <w:pPr>
              <w:keepNext w:val="0"/>
              <w:keepLines w:val="0"/>
              <w:pageBreakBefore w:val="0"/>
              <w:widowControl w:val="0"/>
              <w:spacing w:before="28"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五、生</w:t>
            </w:r>
          </w:p>
          <w:p w14:paraId="5F987259">
            <w:pPr>
              <w:keepNext w:val="0"/>
              <w:keepLines w:val="0"/>
              <w:pageBreakBefore w:val="0"/>
              <w:widowControl w:val="0"/>
              <w:spacing w:before="17"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活垃圾</w:t>
            </w:r>
          </w:p>
          <w:p w14:paraId="1C9626E9">
            <w:pPr>
              <w:keepNext w:val="0"/>
              <w:keepLines w:val="0"/>
              <w:pageBreakBefore w:val="0"/>
              <w:widowControl w:val="0"/>
              <w:spacing w:before="17"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运输管</w:t>
            </w:r>
          </w:p>
          <w:p w14:paraId="2BA06770">
            <w:pPr>
              <w:keepNext w:val="0"/>
              <w:keepLines w:val="0"/>
              <w:pageBreakBefore w:val="0"/>
              <w:widowControl w:val="0"/>
              <w:spacing w:before="17"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 xml:space="preserve">理 </w:t>
            </w:r>
          </w:p>
        </w:tc>
        <w:tc>
          <w:tcPr>
            <w:tcW w:w="4540" w:type="dxa"/>
            <w:shd w:val="clear" w:color="auto" w:fill="FFFFFF"/>
            <w:noWrap w:val="0"/>
            <w:vAlign w:val="top"/>
          </w:tcPr>
          <w:p w14:paraId="455D9F94">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1.垃圾压缩车辆为密闭运输，车容整洁，运输车设置渗沥液收集装置，运输过程中无遗撒。 </w:t>
            </w:r>
          </w:p>
          <w:p w14:paraId="646A3CAA">
            <w:pPr>
              <w:keepNext w:val="0"/>
              <w:keepLines w:val="0"/>
              <w:pageBreakBefore w:val="0"/>
              <w:widowControl w:val="0"/>
              <w:spacing w:before="39"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2.车体外无污物、灰垢、无洒漏抛现象，标识清晰。 </w:t>
            </w:r>
          </w:p>
          <w:p w14:paraId="104844D9">
            <w:pPr>
              <w:keepNext w:val="0"/>
              <w:keepLines w:val="0"/>
              <w:pageBreakBefore w:val="0"/>
              <w:widowControl w:val="0"/>
              <w:spacing w:before="27"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3.车辆作业结束及时清洗干净，停放整齐。 </w:t>
            </w:r>
          </w:p>
          <w:p w14:paraId="1CB6C0B6">
            <w:pPr>
              <w:keepNext w:val="0"/>
              <w:keepLines w:val="0"/>
              <w:pageBreakBefore w:val="0"/>
              <w:widowControl w:val="0"/>
              <w:spacing w:before="27"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4.垃圾收集清运符合</w:t>
            </w:r>
            <w:r>
              <w:rPr>
                <w:rFonts w:hint="eastAsia" w:ascii="宋体" w:hAnsi="宋体" w:eastAsia="宋体" w:cs="宋体"/>
                <w:sz w:val="18"/>
                <w:szCs w:val="22"/>
                <w:lang w:val="en-US" w:eastAsia="zh-CN" w:bidi="ar-SA"/>
              </w:rPr>
              <w:t>相关</w:t>
            </w:r>
            <w:r>
              <w:rPr>
                <w:rFonts w:hint="default" w:ascii="宋体" w:hAnsi="宋体" w:eastAsia="宋体" w:cs="宋体"/>
                <w:sz w:val="18"/>
                <w:szCs w:val="22"/>
                <w:lang w:val="en-US" w:eastAsia="zh-CN" w:bidi="ar-SA"/>
              </w:rPr>
              <w:t xml:space="preserve">规定，垃圾转运应当做好记录。 </w:t>
            </w:r>
          </w:p>
        </w:tc>
        <w:tc>
          <w:tcPr>
            <w:tcW w:w="3497" w:type="dxa"/>
            <w:shd w:val="clear" w:color="auto" w:fill="FFFFFF"/>
            <w:noWrap w:val="0"/>
            <w:vAlign w:val="top"/>
          </w:tcPr>
          <w:p w14:paraId="626F60FB">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1.每发现一次不实行密闭化运输的扣 0.2 分； </w:t>
            </w:r>
          </w:p>
          <w:p w14:paraId="20055835">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2.每发现一次运输车辆超高超载、车况差、车容不整洁的扣 0.2 分； </w:t>
            </w:r>
          </w:p>
          <w:p w14:paraId="29B6D9F1">
            <w:pPr>
              <w:keepNext w:val="0"/>
              <w:keepLines w:val="0"/>
              <w:pageBreakBefore w:val="0"/>
              <w:widowControl w:val="0"/>
              <w:spacing w:before="8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3.每发现一次沿途污水滴漏的 0.2 分； </w:t>
            </w:r>
          </w:p>
          <w:p w14:paraId="49F968EC">
            <w:pPr>
              <w:keepNext w:val="0"/>
              <w:keepLines w:val="0"/>
              <w:pageBreakBefore w:val="0"/>
              <w:widowControl w:val="0"/>
              <w:spacing w:before="8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4.每发现一次沿途撒落垃圾、不按规定地点倾倒垃圾的扣 0.2 分； </w:t>
            </w:r>
          </w:p>
          <w:p w14:paraId="608B9F55">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5.每发现一次垃圾转运未做好记录的扣 0.2 分。 </w:t>
            </w:r>
          </w:p>
        </w:tc>
      </w:tr>
      <w:tr w14:paraId="2839B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1049" w:type="dxa"/>
            <w:vMerge w:val="continue"/>
            <w:shd w:val="clear" w:color="auto" w:fill="FFFFFF"/>
            <w:noWrap w:val="0"/>
            <w:vAlign w:val="top"/>
          </w:tcPr>
          <w:p w14:paraId="49EE5B19">
            <w:pPr>
              <w:keepNext w:val="0"/>
              <w:keepLines w:val="0"/>
              <w:pageBreakBefore w:val="0"/>
              <w:widowControl w:val="0"/>
              <w:spacing w:before="0" w:after="0" w:line="300" w:lineRule="exact"/>
              <w:ind w:left="0" w:right="0"/>
              <w:jc w:val="left"/>
              <w:rPr>
                <w:rFonts w:hint="default" w:ascii="Times New Roman" w:hAnsi="宋体" w:eastAsia="宋体" w:cs="宋体"/>
                <w:sz w:val="18"/>
                <w:szCs w:val="22"/>
                <w:lang w:val="en-US" w:eastAsia="en-US" w:bidi="ar-SA"/>
              </w:rPr>
            </w:pPr>
          </w:p>
        </w:tc>
        <w:tc>
          <w:tcPr>
            <w:tcW w:w="4540" w:type="dxa"/>
            <w:shd w:val="clear" w:color="auto" w:fill="FFFFFF"/>
            <w:noWrap w:val="0"/>
            <w:vAlign w:val="top"/>
          </w:tcPr>
          <w:p w14:paraId="2C158FB3">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1.</w:t>
            </w:r>
            <w:r>
              <w:rPr>
                <w:rFonts w:hint="default" w:ascii="宋体" w:hAnsi="宋体" w:eastAsia="宋体" w:cs="宋体"/>
                <w:spacing w:val="-6"/>
                <w:sz w:val="18"/>
                <w:szCs w:val="22"/>
                <w:lang w:val="en-US" w:eastAsia="zh-CN" w:bidi="ar-SA"/>
              </w:rPr>
              <w:t xml:space="preserve">垃圾收集点及周围 </w:t>
            </w:r>
            <w:r>
              <w:rPr>
                <w:rFonts w:hint="default" w:ascii="宋体" w:hAnsi="宋体" w:eastAsia="宋体" w:cs="宋体"/>
                <w:sz w:val="18"/>
                <w:szCs w:val="22"/>
                <w:lang w:val="en-US" w:eastAsia="zh-CN" w:bidi="ar-SA"/>
              </w:rPr>
              <w:t>5</w:t>
            </w:r>
            <w:r>
              <w:rPr>
                <w:rFonts w:hint="default" w:ascii="宋体" w:hAnsi="宋体" w:eastAsia="宋体" w:cs="宋体"/>
                <w:spacing w:val="-12"/>
                <w:sz w:val="18"/>
                <w:szCs w:val="22"/>
                <w:lang w:val="en-US" w:eastAsia="zh-CN" w:bidi="ar-SA"/>
              </w:rPr>
              <w:t xml:space="preserve"> 米内应整洁，无散落、存留垃圾和污</w:t>
            </w:r>
            <w:r>
              <w:rPr>
                <w:rFonts w:hint="default" w:ascii="宋体" w:hAnsi="宋体" w:eastAsia="宋体" w:cs="宋体"/>
                <w:sz w:val="18"/>
                <w:szCs w:val="22"/>
                <w:lang w:val="en-US" w:eastAsia="zh-CN" w:bidi="ar-SA"/>
              </w:rPr>
              <w:t xml:space="preserve">水，应当定期清洗、喷洒消毒、灭蚊蝇药物，并无活鼠等。 </w:t>
            </w:r>
          </w:p>
          <w:p w14:paraId="737C9B43">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2.作业区域内零散无主生活垃圾应及时收集、清运，严禁焚烧垃圾。 </w:t>
            </w:r>
          </w:p>
          <w:p w14:paraId="6862D90C">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3.</w:t>
            </w:r>
            <w:r>
              <w:rPr>
                <w:rFonts w:hint="default" w:ascii="宋体" w:hAnsi="宋体" w:eastAsia="宋体" w:cs="宋体"/>
                <w:spacing w:val="-7"/>
                <w:sz w:val="18"/>
                <w:szCs w:val="22"/>
                <w:lang w:val="en-US" w:eastAsia="zh-CN" w:bidi="ar-SA"/>
              </w:rPr>
              <w:t>垃圾收集器应无残缺、破损，封闭性好，</w:t>
            </w:r>
            <w:r>
              <w:rPr>
                <w:rFonts w:hint="eastAsia" w:ascii="宋体" w:hAnsi="宋体" w:eastAsia="宋体" w:cs="宋体"/>
                <w:spacing w:val="-7"/>
                <w:sz w:val="18"/>
                <w:szCs w:val="22"/>
                <w:lang w:val="en-US" w:eastAsia="zh-CN" w:bidi="ar-SA"/>
              </w:rPr>
              <w:t>外表</w:t>
            </w:r>
            <w:r>
              <w:rPr>
                <w:rFonts w:hint="default" w:ascii="宋体" w:hAnsi="宋体" w:eastAsia="宋体" w:cs="宋体"/>
                <w:spacing w:val="-7"/>
                <w:sz w:val="18"/>
                <w:szCs w:val="22"/>
                <w:lang w:val="en-US" w:eastAsia="zh-CN" w:bidi="ar-SA"/>
              </w:rPr>
              <w:t xml:space="preserve">干净，如在室内，构筑物内外墙不得有明显积尘、污迹。 </w:t>
            </w:r>
          </w:p>
          <w:p w14:paraId="6C6459BB">
            <w:pPr>
              <w:keepNext w:val="0"/>
              <w:keepLines w:val="0"/>
              <w:pageBreakBefore w:val="0"/>
              <w:widowControl w:val="0"/>
              <w:spacing w:before="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4.运送垃圾的过程应覆盖密闭，实行“垃圾不落地”作业， 不得有滴冒撒漏现象。 </w:t>
            </w:r>
          </w:p>
          <w:p w14:paraId="29E12A8B">
            <w:pPr>
              <w:keepNext w:val="0"/>
              <w:keepLines w:val="0"/>
              <w:pageBreakBefore w:val="0"/>
              <w:widowControl w:val="0"/>
              <w:spacing w:before="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5.不得乱倒、乱卸、乱抛垃圾，居民住宅附近的垃圾装运时应避免扰民。 </w:t>
            </w:r>
          </w:p>
        </w:tc>
        <w:tc>
          <w:tcPr>
            <w:tcW w:w="3497" w:type="dxa"/>
            <w:shd w:val="clear" w:color="auto" w:fill="FFFFFF"/>
            <w:noWrap w:val="0"/>
            <w:vAlign w:val="top"/>
          </w:tcPr>
          <w:p w14:paraId="7F128CEF">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1.每发现一次垃圾收集点脏乱等情况的扣 0.2 分； </w:t>
            </w:r>
          </w:p>
          <w:p w14:paraId="52BA9528">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2.每发现一次焚烧垃圾的扣 2 分； </w:t>
            </w:r>
          </w:p>
          <w:p w14:paraId="20CBF94F">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3.每发现一次垃圾收集器破损未及时修复、密封性不好、未及时消杀、脏乱洒落等情况的扣 0.2 分。 </w:t>
            </w:r>
          </w:p>
          <w:p w14:paraId="11F429A6">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4.每发现一次垃圾装运扰民遭投诉的扣 0.2 分。 </w:t>
            </w:r>
          </w:p>
        </w:tc>
      </w:tr>
      <w:tr w14:paraId="209A8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49" w:type="dxa"/>
            <w:vMerge w:val="restart"/>
            <w:shd w:val="clear" w:color="auto" w:fill="FFFFFF"/>
            <w:noWrap w:val="0"/>
            <w:vAlign w:val="top"/>
          </w:tcPr>
          <w:p w14:paraId="0194C0AE">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04E08BAE">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16156CDE">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6938BD49">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303EE801">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442A0424">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14320A8E">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7BC83ADA">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369062AE">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48BE54B7">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0C0FEF36">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557513A5">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5B5C5A0A">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26E0878F">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1582FB49">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3DAE0235">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0ADEADC9">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0A68DBCD">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69E0191D">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4CC3CBB5">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19795286">
            <w:pPr>
              <w:keepNext w:val="0"/>
              <w:keepLines w:val="0"/>
              <w:pageBreakBefore w:val="0"/>
              <w:widowControl w:val="0"/>
              <w:spacing w:before="15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b/>
                <w:sz w:val="21"/>
                <w:szCs w:val="22"/>
                <w:lang w:val="en-US" w:eastAsia="zh-CN" w:bidi="ar-SA"/>
              </w:rPr>
              <w:t>六、公厕管理</w:t>
            </w:r>
            <w:r>
              <w:rPr>
                <w:rFonts w:hint="default" w:ascii="宋体" w:hAnsi="宋体" w:eastAsia="宋体" w:cs="宋体"/>
                <w:sz w:val="18"/>
                <w:szCs w:val="22"/>
                <w:lang w:val="en-US" w:eastAsia="zh-CN" w:bidi="ar-SA"/>
              </w:rPr>
              <w:t xml:space="preserve"> </w:t>
            </w:r>
          </w:p>
        </w:tc>
        <w:tc>
          <w:tcPr>
            <w:tcW w:w="4540" w:type="dxa"/>
            <w:shd w:val="clear" w:color="auto" w:fill="FFFFFF"/>
            <w:noWrap w:val="0"/>
            <w:vAlign w:val="top"/>
          </w:tcPr>
          <w:p w14:paraId="02D5E5D8">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pacing w:val="-8"/>
                <w:sz w:val="18"/>
                <w:szCs w:val="22"/>
                <w:lang w:val="en-US" w:eastAsia="zh-CN" w:bidi="ar-SA"/>
              </w:rPr>
              <w:t xml:space="preserve">公厕保持早 </w:t>
            </w:r>
            <w:r>
              <w:rPr>
                <w:rFonts w:hint="default" w:ascii="宋体" w:hAnsi="宋体" w:eastAsia="宋体" w:cs="宋体"/>
                <w:sz w:val="18"/>
                <w:szCs w:val="22"/>
                <w:lang w:val="en-US" w:eastAsia="zh-CN" w:bidi="ar-SA"/>
              </w:rPr>
              <w:t>5</w:t>
            </w:r>
            <w:r>
              <w:rPr>
                <w:rFonts w:hint="default" w:ascii="宋体" w:hAnsi="宋体" w:eastAsia="宋体" w:cs="宋体"/>
                <w:spacing w:val="-19"/>
                <w:sz w:val="18"/>
                <w:szCs w:val="22"/>
                <w:lang w:val="en-US" w:eastAsia="zh-CN" w:bidi="ar-SA"/>
              </w:rPr>
              <w:t xml:space="preserve"> 点至晚 </w:t>
            </w:r>
            <w:r>
              <w:rPr>
                <w:rFonts w:hint="default" w:ascii="宋体" w:hAnsi="宋体" w:eastAsia="宋体" w:cs="宋体"/>
                <w:sz w:val="18"/>
                <w:szCs w:val="22"/>
                <w:lang w:val="en-US" w:eastAsia="zh-CN" w:bidi="ar-SA"/>
              </w:rPr>
              <w:t>8</w:t>
            </w:r>
            <w:r>
              <w:rPr>
                <w:rFonts w:hint="default" w:ascii="宋体" w:hAnsi="宋体" w:eastAsia="宋体" w:cs="宋体"/>
                <w:spacing w:val="-12"/>
                <w:sz w:val="18"/>
                <w:szCs w:val="22"/>
                <w:lang w:val="en-US" w:eastAsia="zh-CN" w:bidi="ar-SA"/>
              </w:rPr>
              <w:t xml:space="preserve"> 点开门，正常上班时间保持人员在岗</w:t>
            </w:r>
            <w:r>
              <w:rPr>
                <w:rFonts w:hint="default" w:ascii="宋体" w:hAnsi="宋体" w:eastAsia="宋体" w:cs="宋体"/>
                <w:sz w:val="18"/>
                <w:szCs w:val="22"/>
                <w:lang w:val="en-US" w:eastAsia="zh-CN" w:bidi="ar-SA"/>
              </w:rPr>
              <w:t xml:space="preserve">在位，统一着装。 </w:t>
            </w:r>
          </w:p>
        </w:tc>
        <w:tc>
          <w:tcPr>
            <w:tcW w:w="3497" w:type="dxa"/>
            <w:shd w:val="clear" w:color="auto" w:fill="FFFFFF"/>
            <w:noWrap w:val="0"/>
            <w:vAlign w:val="top"/>
          </w:tcPr>
          <w:p w14:paraId="3F927B38">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1.每发现一次未在岗、串岗行为扣 0.2 分； </w:t>
            </w:r>
          </w:p>
          <w:p w14:paraId="58832AF0">
            <w:pPr>
              <w:keepNext w:val="0"/>
              <w:keepLines w:val="0"/>
              <w:pageBreakBefore w:val="0"/>
              <w:widowControl w:val="0"/>
              <w:spacing w:before="8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2.每发现一次未统一着装扣 0.5 分。 </w:t>
            </w:r>
          </w:p>
        </w:tc>
      </w:tr>
      <w:tr w14:paraId="13935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049" w:type="dxa"/>
            <w:vMerge w:val="continue"/>
            <w:shd w:val="clear" w:color="auto" w:fill="FFFFFF"/>
            <w:noWrap w:val="0"/>
            <w:vAlign w:val="top"/>
          </w:tcPr>
          <w:p w14:paraId="5ABFDD88">
            <w:pPr>
              <w:keepNext w:val="0"/>
              <w:keepLines w:val="0"/>
              <w:pageBreakBefore w:val="0"/>
              <w:widowControl w:val="0"/>
              <w:spacing w:line="300" w:lineRule="exact"/>
              <w:ind w:left="0" w:right="0"/>
              <w:jc w:val="both"/>
              <w:rPr>
                <w:rFonts w:hint="default" w:ascii="Times New Roman" w:hAnsi="Times New Roman" w:eastAsia="Times New Roman" w:cs="Times New Roman"/>
                <w:b/>
                <w:sz w:val="2"/>
                <w:szCs w:val="2"/>
                <w:lang w:val="en-US" w:eastAsia="zh-CN" w:bidi="ar-SA"/>
              </w:rPr>
            </w:pPr>
          </w:p>
        </w:tc>
        <w:tc>
          <w:tcPr>
            <w:tcW w:w="4540" w:type="dxa"/>
            <w:shd w:val="clear" w:color="auto" w:fill="FFFFFF"/>
            <w:noWrap w:val="0"/>
            <w:vAlign w:val="top"/>
          </w:tcPr>
          <w:p w14:paraId="6DE1C23F">
            <w:pPr>
              <w:keepNext w:val="0"/>
              <w:keepLines w:val="0"/>
              <w:pageBreakBefore w:val="0"/>
              <w:widowControl w:val="0"/>
              <w:spacing w:before="0"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做好公共厕所外墙整洁，周围无乱张贴、乱涂写、乱刻画、</w:t>
            </w:r>
            <w:r>
              <w:rPr>
                <w:rFonts w:hint="default" w:ascii="宋体" w:hAnsi="宋体" w:eastAsia="宋体" w:cs="宋体"/>
                <w:spacing w:val="-15"/>
                <w:sz w:val="18"/>
                <w:szCs w:val="22"/>
                <w:lang w:val="en-US" w:eastAsia="zh-CN" w:bidi="ar-SA"/>
              </w:rPr>
              <w:t>乱吊挂、乱堆放等行为；保持环境卫生整洁，无垃圾、粪便、污水、无污迹、无渣土，无</w:t>
            </w:r>
            <w:r>
              <w:rPr>
                <w:rFonts w:hint="eastAsia" w:ascii="宋体" w:hAnsi="宋体" w:eastAsia="宋体" w:cs="宋体"/>
                <w:spacing w:val="-15"/>
                <w:sz w:val="18"/>
                <w:szCs w:val="22"/>
                <w:lang w:val="en-US" w:eastAsia="zh-CN" w:bidi="ar-SA"/>
              </w:rPr>
              <w:t>蚊蝇滋生</w:t>
            </w:r>
            <w:r>
              <w:rPr>
                <w:rFonts w:hint="default" w:ascii="宋体" w:hAnsi="宋体" w:eastAsia="宋体" w:cs="宋体"/>
                <w:spacing w:val="-15"/>
                <w:sz w:val="18"/>
                <w:szCs w:val="22"/>
                <w:lang w:val="en-US" w:eastAsia="zh-CN" w:bidi="ar-SA"/>
              </w:rPr>
              <w:t xml:space="preserve">地。 </w:t>
            </w:r>
          </w:p>
        </w:tc>
        <w:tc>
          <w:tcPr>
            <w:tcW w:w="3497" w:type="dxa"/>
            <w:shd w:val="clear" w:color="auto" w:fill="FFFFFF"/>
            <w:noWrap w:val="0"/>
            <w:vAlign w:val="top"/>
          </w:tcPr>
          <w:p w14:paraId="2FC70413">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1.每发现一处乱贴乱画、乱涂写、地面垃圾、粪便等情况堆积扣 0.2 分； </w:t>
            </w:r>
          </w:p>
          <w:p w14:paraId="5A788836">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2.每发现一次可视范围内有明显蚊蝇扣 0.2 分。 </w:t>
            </w:r>
          </w:p>
        </w:tc>
      </w:tr>
      <w:tr w14:paraId="6801D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049" w:type="dxa"/>
            <w:vMerge w:val="continue"/>
            <w:shd w:val="clear" w:color="auto" w:fill="FFFFFF"/>
            <w:noWrap w:val="0"/>
            <w:vAlign w:val="top"/>
          </w:tcPr>
          <w:p w14:paraId="62F91945">
            <w:pPr>
              <w:keepNext w:val="0"/>
              <w:keepLines w:val="0"/>
              <w:pageBreakBefore w:val="0"/>
              <w:widowControl w:val="0"/>
              <w:spacing w:line="300" w:lineRule="exact"/>
              <w:ind w:left="0" w:right="0"/>
              <w:jc w:val="both"/>
              <w:rPr>
                <w:rFonts w:hint="default" w:ascii="Times New Roman" w:hAnsi="Times New Roman" w:eastAsia="Times New Roman" w:cs="Times New Roman"/>
                <w:b/>
                <w:sz w:val="2"/>
                <w:szCs w:val="2"/>
                <w:lang w:val="en-US" w:eastAsia="zh-CN" w:bidi="ar-SA"/>
              </w:rPr>
            </w:pPr>
          </w:p>
        </w:tc>
        <w:tc>
          <w:tcPr>
            <w:tcW w:w="4540" w:type="dxa"/>
            <w:shd w:val="clear" w:color="auto" w:fill="FFFFFF"/>
            <w:noWrap w:val="0"/>
            <w:vAlign w:val="top"/>
          </w:tcPr>
          <w:p w14:paraId="3D41C1F4">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1.</w:t>
            </w:r>
            <w:r>
              <w:rPr>
                <w:rFonts w:hint="default" w:ascii="宋体" w:hAnsi="宋体" w:eastAsia="宋体" w:cs="宋体"/>
                <w:spacing w:val="-1"/>
                <w:sz w:val="18"/>
                <w:szCs w:val="22"/>
                <w:lang w:val="en-US" w:eastAsia="zh-CN" w:bidi="ar-SA"/>
              </w:rPr>
              <w:t xml:space="preserve">做好公厕卫生，做到七净、七无、一畅通，即：地面净， </w:t>
            </w:r>
            <w:r>
              <w:rPr>
                <w:rFonts w:hint="default" w:ascii="宋体" w:hAnsi="宋体" w:eastAsia="宋体" w:cs="宋体"/>
                <w:spacing w:val="-9"/>
                <w:sz w:val="18"/>
                <w:szCs w:val="22"/>
                <w:lang w:val="en-US" w:eastAsia="zh-CN" w:bidi="ar-SA"/>
              </w:rPr>
              <w:t>墙面净、隔断净、便池净、门窗净、设施设备净、管理用房</w:t>
            </w:r>
            <w:r>
              <w:rPr>
                <w:rFonts w:hint="default" w:ascii="宋体" w:hAnsi="宋体" w:eastAsia="宋体" w:cs="宋体"/>
                <w:spacing w:val="-12"/>
                <w:sz w:val="18"/>
                <w:szCs w:val="22"/>
                <w:lang w:val="en-US" w:eastAsia="zh-CN" w:bidi="ar-SA"/>
              </w:rPr>
              <w:t xml:space="preserve">整洁干净；无烟头纸屑、无阻塞、无尿垢、无蜘蛛网、无积尘、无积水、无臭味、无锈迹；下水道畅通。 </w:t>
            </w:r>
          </w:p>
          <w:p w14:paraId="054D6013">
            <w:pPr>
              <w:keepNext w:val="0"/>
              <w:keepLines w:val="0"/>
              <w:pageBreakBefore w:val="0"/>
              <w:widowControl w:val="0"/>
              <w:spacing w:before="3"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2.</w:t>
            </w:r>
            <w:r>
              <w:rPr>
                <w:rFonts w:hint="default" w:ascii="宋体" w:hAnsi="宋体" w:eastAsia="宋体" w:cs="宋体"/>
                <w:spacing w:val="-8"/>
                <w:sz w:val="18"/>
                <w:szCs w:val="22"/>
                <w:lang w:val="en-US" w:eastAsia="zh-CN" w:bidi="ar-SA"/>
              </w:rPr>
              <w:t>公厕内门窗、隔断、洗手盆、镜面、地面、蹲台面无污物积水，要保持清洁，墙壁无污迹、无蛛网、无乱刻画，纸</w:t>
            </w:r>
            <w:r>
              <w:rPr>
                <w:rFonts w:hint="default" w:ascii="宋体" w:hAnsi="宋体" w:eastAsia="宋体" w:cs="宋体"/>
                <w:spacing w:val="-11"/>
                <w:sz w:val="18"/>
                <w:szCs w:val="22"/>
                <w:lang w:val="en-US" w:eastAsia="zh-CN" w:bidi="ar-SA"/>
              </w:rPr>
              <w:t xml:space="preserve">篓废弃物不得超过纸篓容积的 </w:t>
            </w:r>
            <w:r>
              <w:rPr>
                <w:rFonts w:hint="default" w:ascii="宋体" w:hAnsi="宋体" w:eastAsia="宋体" w:cs="宋体"/>
                <w:sz w:val="18"/>
                <w:szCs w:val="22"/>
                <w:lang w:val="en-US" w:eastAsia="zh-CN" w:bidi="ar-SA"/>
              </w:rPr>
              <w:t>1/2</w:t>
            </w:r>
            <w:r>
              <w:rPr>
                <w:rFonts w:hint="default" w:ascii="宋体" w:hAnsi="宋体" w:eastAsia="宋体" w:cs="宋体"/>
                <w:spacing w:val="-1"/>
                <w:sz w:val="18"/>
                <w:szCs w:val="22"/>
                <w:lang w:val="en-US" w:eastAsia="zh-CN" w:bidi="ar-SA"/>
              </w:rPr>
              <w:t>，下水道畅通无阻。</w:t>
            </w:r>
            <w:r>
              <w:rPr>
                <w:rFonts w:hint="default" w:ascii="宋体" w:hAnsi="宋体" w:eastAsia="宋体" w:cs="宋体"/>
                <w:sz w:val="18"/>
                <w:szCs w:val="22"/>
                <w:lang w:val="en-US" w:eastAsia="zh-CN" w:bidi="ar-SA"/>
              </w:rPr>
              <w:t xml:space="preserve"> </w:t>
            </w:r>
          </w:p>
          <w:p w14:paraId="0C6237F9">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3.</w:t>
            </w:r>
            <w:r>
              <w:rPr>
                <w:rFonts w:hint="default" w:ascii="宋体" w:hAnsi="宋体" w:eastAsia="宋体" w:cs="宋体"/>
                <w:spacing w:val="-9"/>
                <w:sz w:val="18"/>
                <w:szCs w:val="22"/>
                <w:lang w:val="en-US" w:eastAsia="zh-CN" w:bidi="ar-SA"/>
              </w:rPr>
              <w:t>公厕内小便器、蹲便器、坐便器要干净清洁无尿碱和</w:t>
            </w:r>
            <w:r>
              <w:rPr>
                <w:rFonts w:hint="eastAsia" w:ascii="宋体" w:hAnsi="宋体" w:eastAsia="宋体" w:cs="宋体"/>
                <w:spacing w:val="-9"/>
                <w:sz w:val="18"/>
                <w:szCs w:val="22"/>
                <w:lang w:val="en-US" w:eastAsia="zh-CN" w:bidi="ar-SA"/>
              </w:rPr>
              <w:t>其他废弃物</w:t>
            </w:r>
            <w:r>
              <w:rPr>
                <w:rFonts w:hint="default" w:ascii="宋体" w:hAnsi="宋体" w:eastAsia="宋体" w:cs="宋体"/>
                <w:spacing w:val="-9"/>
                <w:sz w:val="18"/>
                <w:szCs w:val="22"/>
                <w:lang w:val="en-US" w:eastAsia="zh-CN" w:bidi="ar-SA"/>
              </w:rPr>
              <w:t xml:space="preserve">，便槽（池）内不得有积粪、杂物。 </w:t>
            </w:r>
          </w:p>
          <w:p w14:paraId="45C0FA91">
            <w:pPr>
              <w:keepNext w:val="0"/>
              <w:keepLines w:val="0"/>
              <w:pageBreakBefore w:val="0"/>
              <w:widowControl w:val="0"/>
              <w:spacing w:before="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4.</w:t>
            </w:r>
            <w:r>
              <w:rPr>
                <w:rFonts w:hint="default" w:ascii="宋体" w:hAnsi="宋体" w:eastAsia="宋体" w:cs="宋体"/>
                <w:spacing w:val="-9"/>
                <w:sz w:val="18"/>
                <w:szCs w:val="22"/>
                <w:lang w:val="en-US" w:eastAsia="zh-CN" w:bidi="ar-SA"/>
              </w:rPr>
              <w:t>定期消毒、厕内基本无臭味，开门期间应当保持点檀香不</w:t>
            </w:r>
            <w:r>
              <w:rPr>
                <w:rFonts w:hint="default" w:ascii="宋体" w:hAnsi="宋体" w:eastAsia="宋体" w:cs="宋体"/>
                <w:spacing w:val="-11"/>
                <w:sz w:val="18"/>
                <w:szCs w:val="22"/>
                <w:lang w:val="en-US" w:eastAsia="zh-CN" w:bidi="ar-SA"/>
              </w:rPr>
              <w:t xml:space="preserve">断，无蝇、蛆喷洒灭蚊蝇、除臭药物每周不少于 </w:t>
            </w:r>
            <w:r>
              <w:rPr>
                <w:rFonts w:hint="default" w:ascii="宋体" w:hAnsi="宋体" w:eastAsia="宋体" w:cs="宋体"/>
                <w:sz w:val="18"/>
                <w:szCs w:val="22"/>
                <w:lang w:val="en-US" w:eastAsia="zh-CN" w:bidi="ar-SA"/>
              </w:rPr>
              <w:t>2</w:t>
            </w:r>
            <w:r>
              <w:rPr>
                <w:rFonts w:hint="default" w:ascii="宋体" w:hAnsi="宋体" w:eastAsia="宋体" w:cs="宋体"/>
                <w:spacing w:val="-14"/>
                <w:sz w:val="18"/>
                <w:szCs w:val="22"/>
                <w:lang w:val="en-US" w:eastAsia="zh-CN" w:bidi="ar-SA"/>
              </w:rPr>
              <w:t xml:space="preserve"> 次，粪便</w:t>
            </w:r>
          </w:p>
          <w:p w14:paraId="21CA4E6F">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满了及时上报抽理。 </w:t>
            </w:r>
          </w:p>
        </w:tc>
        <w:tc>
          <w:tcPr>
            <w:tcW w:w="3497" w:type="dxa"/>
            <w:shd w:val="clear" w:color="auto" w:fill="FFFFFF"/>
            <w:noWrap w:val="0"/>
            <w:vAlign w:val="top"/>
          </w:tcPr>
          <w:p w14:paraId="5066828A">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1.每发现一处有违反“七净、七无”扣 0.2 分； </w:t>
            </w:r>
          </w:p>
          <w:p w14:paraId="2E5B5278">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2.每发现一次下水道堵塞未及时疏通的扣 0.5 分； </w:t>
            </w:r>
          </w:p>
          <w:p w14:paraId="464FBDF3">
            <w:pPr>
              <w:keepNext w:val="0"/>
              <w:keepLines w:val="0"/>
              <w:pageBreakBefore w:val="0"/>
              <w:widowControl w:val="0"/>
              <w:spacing w:before="8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3.每发现一处不干净、垃圾堆积、乱堆乱放、未点檀香等情况扣 0.2 分； </w:t>
            </w:r>
          </w:p>
          <w:p w14:paraId="7FB82C91">
            <w:pPr>
              <w:keepNext w:val="0"/>
              <w:keepLines w:val="0"/>
              <w:pageBreakBefore w:val="0"/>
              <w:widowControl w:val="0"/>
              <w:spacing w:before="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4.可视范围内有明显蚊蝇、飞虫等情况扣 0.2 分。 </w:t>
            </w:r>
          </w:p>
        </w:tc>
      </w:tr>
      <w:tr w14:paraId="12334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1049" w:type="dxa"/>
            <w:vMerge w:val="continue"/>
            <w:shd w:val="clear" w:color="auto" w:fill="FFFFFF"/>
            <w:noWrap w:val="0"/>
            <w:vAlign w:val="top"/>
          </w:tcPr>
          <w:p w14:paraId="103636A1">
            <w:pPr>
              <w:keepNext w:val="0"/>
              <w:keepLines w:val="0"/>
              <w:pageBreakBefore w:val="0"/>
              <w:widowControl w:val="0"/>
              <w:spacing w:line="300" w:lineRule="exact"/>
              <w:ind w:left="0" w:right="0"/>
              <w:jc w:val="both"/>
              <w:rPr>
                <w:rFonts w:hint="default" w:ascii="Times New Roman" w:hAnsi="Times New Roman" w:eastAsia="Times New Roman" w:cs="Times New Roman"/>
                <w:b/>
                <w:sz w:val="2"/>
                <w:szCs w:val="2"/>
                <w:lang w:val="en-US" w:eastAsia="zh-CN" w:bidi="ar-SA"/>
              </w:rPr>
            </w:pPr>
          </w:p>
        </w:tc>
        <w:tc>
          <w:tcPr>
            <w:tcW w:w="4540" w:type="dxa"/>
            <w:shd w:val="clear" w:color="auto" w:fill="FFFFFF"/>
            <w:noWrap w:val="0"/>
            <w:vAlign w:val="top"/>
          </w:tcPr>
          <w:p w14:paraId="54C5A5A3">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1.公厕标志明显规范，管理制度公示牌、责任内容、保洁记录上墙。 </w:t>
            </w:r>
          </w:p>
          <w:p w14:paraId="1671159F">
            <w:pPr>
              <w:keepNext w:val="0"/>
              <w:keepLines w:val="0"/>
              <w:pageBreakBefore w:val="0"/>
              <w:widowControl w:val="0"/>
              <w:spacing w:before="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2.洗手池、水龙头、灯具、门窗等设施齐全完好。 </w:t>
            </w:r>
          </w:p>
          <w:p w14:paraId="65D5DB3E">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3.遇雨雪天气等地面湿滑情况，应在公厕通道内铺设防滑垫，设置防滑警示牌。 </w:t>
            </w:r>
          </w:p>
        </w:tc>
        <w:tc>
          <w:tcPr>
            <w:tcW w:w="3497" w:type="dxa"/>
            <w:shd w:val="clear" w:color="auto" w:fill="FFFFFF"/>
            <w:noWrap w:val="0"/>
            <w:vAlign w:val="top"/>
          </w:tcPr>
          <w:p w14:paraId="521D65FC">
            <w:pPr>
              <w:keepNext w:val="0"/>
              <w:keepLines w:val="0"/>
              <w:pageBreakBefore w:val="0"/>
              <w:widowControl w:val="0"/>
              <w:spacing w:before="0" w:after="0" w:line="300" w:lineRule="exact"/>
              <w:ind w:left="0" w:right="0"/>
              <w:jc w:val="left"/>
              <w:rPr>
                <w:rFonts w:hint="default" w:ascii="Calibri" w:hAnsi="宋体" w:eastAsia="宋体" w:cs="宋体"/>
                <w:sz w:val="18"/>
                <w:szCs w:val="22"/>
                <w:lang w:val="en-US" w:eastAsia="en-US" w:bidi="ar-SA"/>
              </w:rPr>
            </w:pPr>
          </w:p>
          <w:p w14:paraId="1E02B519">
            <w:pPr>
              <w:keepNext w:val="0"/>
              <w:keepLines w:val="0"/>
              <w:pageBreakBefore w:val="0"/>
              <w:widowControl w:val="0"/>
              <w:spacing w:before="13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1.每发现一次未按要求悬挂管理制度、保洁记录的扣 0.2 分。 </w:t>
            </w:r>
          </w:p>
          <w:p w14:paraId="3F819371">
            <w:pPr>
              <w:keepNext w:val="0"/>
              <w:keepLines w:val="0"/>
              <w:pageBreakBefore w:val="0"/>
              <w:widowControl w:val="0"/>
              <w:spacing w:before="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2.每发现一次未设防滑警示牌的扣 0.5 分。 </w:t>
            </w:r>
          </w:p>
        </w:tc>
      </w:tr>
      <w:tr w14:paraId="43039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1049" w:type="dxa"/>
            <w:vMerge w:val="continue"/>
            <w:shd w:val="clear" w:color="auto" w:fill="FFFFFF"/>
            <w:noWrap w:val="0"/>
            <w:vAlign w:val="top"/>
          </w:tcPr>
          <w:p w14:paraId="398B3CD2">
            <w:pPr>
              <w:keepNext w:val="0"/>
              <w:keepLines w:val="0"/>
              <w:pageBreakBefore w:val="0"/>
              <w:widowControl w:val="0"/>
              <w:spacing w:line="300" w:lineRule="exact"/>
              <w:ind w:left="0" w:right="0"/>
              <w:jc w:val="both"/>
              <w:rPr>
                <w:rFonts w:hint="default" w:ascii="Times New Roman" w:hAnsi="Times New Roman" w:eastAsia="Times New Roman" w:cs="Times New Roman"/>
                <w:b/>
                <w:sz w:val="2"/>
                <w:szCs w:val="2"/>
                <w:lang w:val="en-US" w:eastAsia="zh-CN" w:bidi="ar-SA"/>
              </w:rPr>
            </w:pPr>
          </w:p>
        </w:tc>
        <w:tc>
          <w:tcPr>
            <w:tcW w:w="4540" w:type="dxa"/>
            <w:shd w:val="clear" w:color="auto" w:fill="FFFFFF"/>
            <w:noWrap w:val="0"/>
            <w:vAlign w:val="top"/>
          </w:tcPr>
          <w:p w14:paraId="34143CA0">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1.</w:t>
            </w:r>
            <w:r>
              <w:rPr>
                <w:rFonts w:hint="default" w:ascii="宋体" w:hAnsi="宋体" w:eastAsia="宋体" w:cs="宋体"/>
                <w:spacing w:val="-12"/>
                <w:sz w:val="18"/>
                <w:szCs w:val="22"/>
                <w:lang w:val="en-US" w:eastAsia="zh-CN" w:bidi="ar-SA"/>
              </w:rPr>
              <w:t xml:space="preserve">公厕内的设施要保持完好，确保管道畅通无阻，公厕水管、水龙头、冲水器、洗手盆等设施损坏及时上报维修。 </w:t>
            </w:r>
          </w:p>
          <w:p w14:paraId="41E6EB77">
            <w:pPr>
              <w:keepNext w:val="0"/>
              <w:keepLines w:val="0"/>
              <w:pageBreakBefore w:val="0"/>
              <w:widowControl w:val="0"/>
              <w:spacing w:before="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2.公厕内不得堆放</w:t>
            </w:r>
            <w:r>
              <w:rPr>
                <w:rFonts w:hint="eastAsia" w:ascii="宋体" w:hAnsi="宋体" w:eastAsia="宋体" w:cs="宋体"/>
                <w:sz w:val="18"/>
                <w:szCs w:val="22"/>
                <w:lang w:val="en-US" w:eastAsia="zh-CN" w:bidi="ar-SA"/>
              </w:rPr>
              <w:t>其他</w:t>
            </w:r>
            <w:r>
              <w:rPr>
                <w:rFonts w:hint="default" w:ascii="宋体" w:hAnsi="宋体" w:eastAsia="宋体" w:cs="宋体"/>
                <w:sz w:val="18"/>
                <w:szCs w:val="22"/>
                <w:lang w:val="en-US" w:eastAsia="zh-CN" w:bidi="ar-SA"/>
              </w:rPr>
              <w:t>任何物品，不得</w:t>
            </w:r>
            <w:r>
              <w:rPr>
                <w:rFonts w:hint="eastAsia" w:ascii="宋体" w:hAnsi="宋体" w:eastAsia="宋体" w:cs="宋体"/>
                <w:sz w:val="18"/>
                <w:szCs w:val="22"/>
                <w:lang w:val="en-US" w:eastAsia="zh-CN" w:bidi="ar-SA"/>
              </w:rPr>
              <w:t>挪作他用</w:t>
            </w:r>
            <w:r>
              <w:rPr>
                <w:rFonts w:hint="default" w:ascii="宋体" w:hAnsi="宋体" w:eastAsia="宋体" w:cs="宋体"/>
                <w:sz w:val="18"/>
                <w:szCs w:val="22"/>
                <w:lang w:val="en-US" w:eastAsia="zh-CN" w:bidi="ar-SA"/>
              </w:rPr>
              <w:t>，管理间物品摆放整齐，</w:t>
            </w:r>
            <w:r>
              <w:rPr>
                <w:rFonts w:hint="eastAsia" w:ascii="宋体" w:hAnsi="宋体" w:eastAsia="宋体" w:cs="宋体"/>
                <w:sz w:val="18"/>
                <w:szCs w:val="22"/>
                <w:lang w:val="en-US" w:eastAsia="zh-CN" w:bidi="ar-SA"/>
              </w:rPr>
              <w:t>室内</w:t>
            </w:r>
            <w:r>
              <w:rPr>
                <w:rFonts w:hint="default" w:ascii="宋体" w:hAnsi="宋体" w:eastAsia="宋体" w:cs="宋体"/>
                <w:sz w:val="18"/>
                <w:szCs w:val="22"/>
                <w:lang w:val="en-US" w:eastAsia="zh-CN" w:bidi="ar-SA"/>
              </w:rPr>
              <w:t>干净卫生。工具摆放整齐，不</w:t>
            </w:r>
            <w:r>
              <w:rPr>
                <w:rFonts w:hint="eastAsia" w:ascii="宋体" w:hAnsi="宋体" w:eastAsia="宋体" w:cs="宋体"/>
                <w:sz w:val="18"/>
                <w:szCs w:val="22"/>
                <w:lang w:val="en-US" w:eastAsia="zh-CN" w:bidi="ar-SA"/>
              </w:rPr>
              <w:t>乱堆</w:t>
            </w:r>
            <w:r>
              <w:rPr>
                <w:rFonts w:hint="default" w:ascii="宋体" w:hAnsi="宋体" w:eastAsia="宋体" w:cs="宋体"/>
                <w:sz w:val="18"/>
                <w:szCs w:val="22"/>
                <w:lang w:val="en-US" w:eastAsia="zh-CN" w:bidi="ar-SA"/>
              </w:rPr>
              <w:t>乱放，</w:t>
            </w:r>
          </w:p>
          <w:p w14:paraId="382C843E">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做到正常运转。 </w:t>
            </w:r>
          </w:p>
        </w:tc>
        <w:tc>
          <w:tcPr>
            <w:tcW w:w="3497" w:type="dxa"/>
            <w:shd w:val="clear" w:color="auto" w:fill="FFFFFF"/>
            <w:noWrap w:val="0"/>
            <w:vAlign w:val="top"/>
          </w:tcPr>
          <w:p w14:paraId="57D9C79A">
            <w:pPr>
              <w:keepNext w:val="0"/>
              <w:keepLines w:val="0"/>
              <w:pageBreakBefore w:val="0"/>
              <w:widowControl w:val="0"/>
              <w:spacing w:before="0" w:after="0" w:line="300" w:lineRule="exact"/>
              <w:ind w:left="0" w:right="0"/>
              <w:jc w:val="left"/>
              <w:rPr>
                <w:rFonts w:hint="default" w:ascii="Calibri" w:hAnsi="宋体" w:eastAsia="宋体" w:cs="宋体"/>
                <w:sz w:val="18"/>
                <w:szCs w:val="22"/>
                <w:lang w:val="en-US" w:eastAsia="en-US" w:bidi="ar-SA"/>
              </w:rPr>
            </w:pPr>
          </w:p>
          <w:p w14:paraId="093BB0D8">
            <w:pPr>
              <w:keepNext w:val="0"/>
              <w:keepLines w:val="0"/>
              <w:pageBreakBefore w:val="0"/>
              <w:widowControl w:val="0"/>
              <w:spacing w:before="130" w:after="0" w:line="300" w:lineRule="exact"/>
              <w:ind w:left="0" w:right="0"/>
              <w:jc w:val="left"/>
              <w:rPr>
                <w:rFonts w:hint="eastAsia" w:ascii="宋体" w:hAnsi="宋体" w:eastAsia="宋体" w:cs="宋体"/>
                <w:sz w:val="18"/>
                <w:szCs w:val="22"/>
                <w:lang w:val="en-US" w:eastAsia="zh-CN" w:bidi="ar-SA"/>
              </w:rPr>
            </w:pPr>
            <w:r>
              <w:rPr>
                <w:rFonts w:hint="default" w:ascii="宋体" w:hAnsi="宋体" w:eastAsia="宋体" w:cs="宋体"/>
                <w:sz w:val="18"/>
                <w:szCs w:val="22"/>
                <w:lang w:val="en-US" w:eastAsia="zh-CN" w:bidi="ar-SA"/>
              </w:rPr>
              <w:t>1.</w:t>
            </w:r>
            <w:r>
              <w:rPr>
                <w:rFonts w:hint="default" w:ascii="宋体" w:hAnsi="宋体" w:eastAsia="宋体" w:cs="宋体"/>
                <w:spacing w:val="-4"/>
                <w:sz w:val="18"/>
                <w:szCs w:val="22"/>
                <w:lang w:val="en-US" w:eastAsia="zh-CN" w:bidi="ar-SA"/>
              </w:rPr>
              <w:t xml:space="preserve">每发现一次设施损坏未及时上报维修的扣 </w:t>
            </w:r>
            <w:r>
              <w:rPr>
                <w:rFonts w:hint="default" w:ascii="宋体" w:hAnsi="宋体" w:eastAsia="宋体" w:cs="宋体"/>
                <w:sz w:val="18"/>
                <w:szCs w:val="22"/>
                <w:lang w:val="en-US" w:eastAsia="zh-CN" w:bidi="ar-SA"/>
              </w:rPr>
              <w:t>0.5</w:t>
            </w:r>
            <w:r>
              <w:rPr>
                <w:rFonts w:hint="eastAsia" w:ascii="宋体" w:hAnsi="宋体" w:eastAsia="宋体" w:cs="宋体"/>
                <w:spacing w:val="-48"/>
                <w:sz w:val="18"/>
                <w:szCs w:val="22"/>
                <w:lang w:val="en-US" w:eastAsia="zh-CN" w:bidi="ar-SA"/>
              </w:rPr>
              <w:t>分</w:t>
            </w:r>
          </w:p>
          <w:p w14:paraId="2738E254">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2.</w:t>
            </w:r>
            <w:r>
              <w:rPr>
                <w:rFonts w:hint="default" w:ascii="宋体" w:hAnsi="宋体" w:eastAsia="宋体" w:cs="宋体"/>
                <w:spacing w:val="-8"/>
                <w:sz w:val="18"/>
                <w:szCs w:val="22"/>
                <w:lang w:val="en-US" w:eastAsia="zh-CN" w:bidi="ar-SA"/>
              </w:rPr>
              <w:t xml:space="preserve">每发现一次物品摆放不整齐、工具不清洁的扣 </w:t>
            </w:r>
            <w:r>
              <w:rPr>
                <w:rFonts w:hint="default" w:ascii="宋体" w:hAnsi="宋体" w:eastAsia="宋体" w:cs="宋体"/>
                <w:sz w:val="18"/>
                <w:szCs w:val="22"/>
                <w:lang w:val="en-US" w:eastAsia="zh-CN" w:bidi="ar-SA"/>
              </w:rPr>
              <w:t xml:space="preserve">0.5 分； </w:t>
            </w:r>
          </w:p>
        </w:tc>
      </w:tr>
      <w:tr w14:paraId="309AE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1049" w:type="dxa"/>
            <w:vMerge w:val="continue"/>
            <w:shd w:val="clear" w:color="auto" w:fill="FFFFFF"/>
            <w:noWrap w:val="0"/>
            <w:vAlign w:val="top"/>
          </w:tcPr>
          <w:p w14:paraId="3843D6DB">
            <w:pPr>
              <w:keepNext w:val="0"/>
              <w:keepLines w:val="0"/>
              <w:pageBreakBefore w:val="0"/>
              <w:widowControl w:val="0"/>
              <w:spacing w:line="300" w:lineRule="exact"/>
              <w:ind w:left="0" w:right="0"/>
              <w:jc w:val="both"/>
              <w:rPr>
                <w:rFonts w:hint="default" w:ascii="Times New Roman" w:hAnsi="Times New Roman" w:eastAsia="Times New Roman" w:cs="Times New Roman"/>
                <w:b/>
                <w:sz w:val="2"/>
                <w:szCs w:val="2"/>
                <w:lang w:val="en-US" w:eastAsia="zh-CN" w:bidi="ar-SA"/>
              </w:rPr>
            </w:pPr>
          </w:p>
        </w:tc>
        <w:tc>
          <w:tcPr>
            <w:tcW w:w="4540" w:type="dxa"/>
            <w:shd w:val="clear" w:color="auto" w:fill="FFFFFF"/>
            <w:noWrap w:val="0"/>
            <w:vAlign w:val="top"/>
          </w:tcPr>
          <w:p w14:paraId="73B9BA51">
            <w:pPr>
              <w:keepNext w:val="0"/>
              <w:keepLines w:val="0"/>
              <w:pageBreakBefore w:val="0"/>
              <w:widowControl w:val="0"/>
              <w:spacing w:before="0"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1.</w:t>
            </w:r>
            <w:r>
              <w:rPr>
                <w:rFonts w:hint="default" w:ascii="宋体" w:hAnsi="宋体" w:eastAsia="宋体" w:cs="宋体"/>
                <w:spacing w:val="-6"/>
                <w:sz w:val="18"/>
                <w:szCs w:val="22"/>
                <w:lang w:val="en-US" w:eastAsia="zh-CN" w:bidi="ar-SA"/>
              </w:rPr>
              <w:t>不得改动公厕现有基础设施，不得</w:t>
            </w:r>
            <w:r>
              <w:rPr>
                <w:rFonts w:hint="eastAsia" w:ascii="宋体" w:hAnsi="宋体" w:eastAsia="宋体" w:cs="宋体"/>
                <w:spacing w:val="-6"/>
                <w:sz w:val="18"/>
                <w:szCs w:val="22"/>
                <w:lang w:val="en-US" w:eastAsia="zh-CN" w:bidi="ar-SA"/>
              </w:rPr>
              <w:t>挪作他用</w:t>
            </w:r>
            <w:r>
              <w:rPr>
                <w:rFonts w:hint="default" w:ascii="宋体" w:hAnsi="宋体" w:eastAsia="宋体" w:cs="宋体"/>
                <w:spacing w:val="-6"/>
                <w:sz w:val="18"/>
                <w:szCs w:val="22"/>
                <w:lang w:val="en-US" w:eastAsia="zh-CN" w:bidi="ar-SA"/>
              </w:rPr>
              <w:t xml:space="preserve">。不得占用或妨碍第三卫生间的正常使用。 </w:t>
            </w:r>
          </w:p>
          <w:p w14:paraId="11595BE5">
            <w:pPr>
              <w:keepNext w:val="0"/>
              <w:keepLines w:val="0"/>
              <w:pageBreakBefore w:val="0"/>
              <w:widowControl w:val="0"/>
              <w:spacing w:before="2"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2.</w:t>
            </w:r>
            <w:r>
              <w:rPr>
                <w:rFonts w:hint="default" w:ascii="宋体" w:hAnsi="宋体" w:eastAsia="宋体" w:cs="宋体"/>
                <w:spacing w:val="-5"/>
                <w:sz w:val="18"/>
                <w:szCs w:val="22"/>
                <w:lang w:val="en-US" w:eastAsia="zh-CN" w:bidi="ar-SA"/>
              </w:rPr>
              <w:t>公厕应当记录好并公示上墙每日保洁时间、内容、消毒记</w:t>
            </w:r>
            <w:r>
              <w:rPr>
                <w:rFonts w:hint="default" w:ascii="宋体" w:hAnsi="宋体" w:eastAsia="宋体" w:cs="宋体"/>
                <w:spacing w:val="-9"/>
                <w:sz w:val="18"/>
                <w:szCs w:val="22"/>
                <w:lang w:val="en-US" w:eastAsia="zh-CN" w:bidi="ar-SA"/>
              </w:rPr>
              <w:t>录等，疫情期间应当落实各项防疫措施，检查口罩佩戴、</w:t>
            </w:r>
            <w:r>
              <w:rPr>
                <w:rFonts w:hint="eastAsia" w:ascii="宋体" w:hAnsi="宋体" w:eastAsia="宋体" w:cs="宋体"/>
                <w:spacing w:val="-9"/>
                <w:sz w:val="18"/>
                <w:szCs w:val="22"/>
                <w:lang w:val="en-US" w:eastAsia="zh-CN" w:bidi="ar-SA"/>
              </w:rPr>
              <w:t>健康</w:t>
            </w:r>
            <w:r>
              <w:rPr>
                <w:rFonts w:hint="default" w:ascii="宋体" w:hAnsi="宋体" w:eastAsia="宋体" w:cs="宋体"/>
                <w:spacing w:val="-9"/>
                <w:sz w:val="18"/>
                <w:szCs w:val="22"/>
                <w:lang w:val="en-US" w:eastAsia="zh-CN" w:bidi="ar-SA"/>
              </w:rPr>
              <w:t xml:space="preserve">码查验、体温测量，并做好记录。 </w:t>
            </w:r>
          </w:p>
        </w:tc>
        <w:tc>
          <w:tcPr>
            <w:tcW w:w="3497" w:type="dxa"/>
            <w:shd w:val="clear" w:color="auto" w:fill="FFFFFF"/>
            <w:noWrap w:val="0"/>
            <w:vAlign w:val="top"/>
          </w:tcPr>
          <w:p w14:paraId="51B45556">
            <w:pPr>
              <w:keepNext w:val="0"/>
              <w:keepLines w:val="0"/>
              <w:pageBreakBefore w:val="0"/>
              <w:widowControl w:val="0"/>
              <w:spacing w:before="38"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1.每发现一次第三卫生间被占用、关门上锁等情况扣 0.5 分； </w:t>
            </w:r>
          </w:p>
          <w:p w14:paraId="3DDECCAB">
            <w:pPr>
              <w:keepNext w:val="0"/>
              <w:keepLines w:val="0"/>
              <w:pageBreakBefore w:val="0"/>
              <w:widowControl w:val="0"/>
              <w:spacing w:before="2"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2.</w:t>
            </w:r>
            <w:r>
              <w:rPr>
                <w:rFonts w:hint="default" w:ascii="宋体" w:hAnsi="宋体" w:eastAsia="宋体" w:cs="宋体"/>
                <w:spacing w:val="-2"/>
                <w:sz w:val="18"/>
                <w:szCs w:val="22"/>
                <w:lang w:val="en-US" w:eastAsia="zh-CN" w:bidi="ar-SA"/>
              </w:rPr>
              <w:t xml:space="preserve">每发现一次未登记、未落实防疫措施的扣 </w:t>
            </w:r>
            <w:r>
              <w:rPr>
                <w:rFonts w:hint="default" w:ascii="宋体" w:hAnsi="宋体" w:eastAsia="宋体" w:cs="宋体"/>
                <w:sz w:val="18"/>
                <w:szCs w:val="22"/>
                <w:lang w:val="en-US" w:eastAsia="zh-CN" w:bidi="ar-SA"/>
              </w:rPr>
              <w:t>5</w:t>
            </w:r>
            <w:r>
              <w:rPr>
                <w:rFonts w:hint="default" w:ascii="宋体" w:hAnsi="宋体" w:eastAsia="宋体" w:cs="宋体"/>
                <w:spacing w:val="-2"/>
                <w:sz w:val="18"/>
                <w:szCs w:val="22"/>
                <w:lang w:val="en-US" w:eastAsia="zh-CN" w:bidi="ar-SA"/>
              </w:rPr>
              <w:t xml:space="preserve"> 分， </w:t>
            </w:r>
            <w:r>
              <w:rPr>
                <w:rFonts w:hint="default" w:ascii="宋体" w:hAnsi="宋体" w:eastAsia="宋体" w:cs="宋体"/>
                <w:sz w:val="18"/>
                <w:szCs w:val="22"/>
                <w:lang w:val="en-US" w:eastAsia="zh-CN" w:bidi="ar-SA"/>
              </w:rPr>
              <w:t>每发现一次被上级通报或媒体曝光的扣当月承包经</w:t>
            </w:r>
            <w:r>
              <w:rPr>
                <w:rFonts w:hint="default" w:ascii="宋体" w:hAnsi="宋体" w:eastAsia="宋体" w:cs="宋体"/>
                <w:spacing w:val="12"/>
                <w:sz w:val="18"/>
                <w:szCs w:val="22"/>
                <w:lang w:val="en-US" w:eastAsia="zh-CN" w:bidi="ar-SA"/>
              </w:rPr>
              <w:t>费</w:t>
            </w:r>
            <w:r>
              <w:rPr>
                <w:rFonts w:hint="eastAsia" w:ascii="Times New Roman" w:hAnsi="Times New Roman" w:eastAsia="宋体" w:cs="宋体"/>
                <w:spacing w:val="12"/>
                <w:sz w:val="18"/>
                <w:szCs w:val="22"/>
                <w:lang w:val="en-US" w:eastAsia="zh-CN" w:bidi="ar-SA"/>
              </w:rPr>
              <w:t>5</w:t>
            </w:r>
            <w:r>
              <w:rPr>
                <w:rFonts w:hint="default" w:ascii="宋体" w:hAnsi="宋体" w:eastAsia="宋体" w:cs="宋体"/>
                <w:sz w:val="18"/>
                <w:szCs w:val="22"/>
                <w:lang w:val="en-US" w:eastAsia="zh-CN" w:bidi="ar-SA"/>
              </w:rPr>
              <w:t>%，连续三次被上级通报或媒体曝光的解除合</w:t>
            </w:r>
          </w:p>
          <w:p w14:paraId="4EDE9696">
            <w:pPr>
              <w:keepNext w:val="0"/>
              <w:keepLines w:val="0"/>
              <w:pageBreakBefore w:val="0"/>
              <w:widowControl w:val="0"/>
              <w:spacing w:before="2"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同。 </w:t>
            </w:r>
          </w:p>
        </w:tc>
      </w:tr>
      <w:tr w14:paraId="30D21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jc w:val="center"/>
        </w:trPr>
        <w:tc>
          <w:tcPr>
            <w:tcW w:w="1049" w:type="dxa"/>
            <w:shd w:val="clear" w:color="auto" w:fill="FFFFFF"/>
            <w:noWrap w:val="0"/>
            <w:vAlign w:val="top"/>
          </w:tcPr>
          <w:p w14:paraId="78E9F600">
            <w:pPr>
              <w:keepNext w:val="0"/>
              <w:keepLines w:val="0"/>
              <w:pageBreakBefore w:val="0"/>
              <w:widowControl w:val="0"/>
              <w:spacing w:before="22"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七、河道、沟</w:t>
            </w:r>
          </w:p>
          <w:p w14:paraId="2EC88600">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b/>
                <w:sz w:val="21"/>
                <w:szCs w:val="22"/>
                <w:lang w:val="en-US" w:eastAsia="zh-CN" w:bidi="ar-SA"/>
              </w:rPr>
              <w:t>渠保洁</w:t>
            </w:r>
            <w:r>
              <w:rPr>
                <w:rFonts w:hint="default" w:ascii="宋体" w:hAnsi="宋体" w:eastAsia="宋体" w:cs="宋体"/>
                <w:sz w:val="18"/>
                <w:szCs w:val="22"/>
                <w:lang w:val="en-US" w:eastAsia="zh-CN" w:bidi="ar-SA"/>
              </w:rPr>
              <w:t xml:space="preserve"> </w:t>
            </w:r>
          </w:p>
        </w:tc>
        <w:tc>
          <w:tcPr>
            <w:tcW w:w="4540" w:type="dxa"/>
            <w:shd w:val="clear" w:color="auto" w:fill="FFFFFF"/>
            <w:noWrap w:val="0"/>
            <w:vAlign w:val="top"/>
          </w:tcPr>
          <w:p w14:paraId="6AD3DCE9">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1.建立巡查机制，加强河道、沟渠水面环境卫生维护。 </w:t>
            </w:r>
          </w:p>
          <w:p w14:paraId="67924F8E">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2.</w:t>
            </w:r>
            <w:r>
              <w:rPr>
                <w:rFonts w:hint="default" w:ascii="宋体" w:hAnsi="宋体" w:eastAsia="宋体" w:cs="宋体"/>
                <w:spacing w:val="-7"/>
                <w:sz w:val="18"/>
                <w:szCs w:val="22"/>
                <w:lang w:val="en-US" w:eastAsia="zh-CN" w:bidi="ar-SA"/>
              </w:rPr>
              <w:t xml:space="preserve">每天巡回保洁 </w:t>
            </w:r>
            <w:r>
              <w:rPr>
                <w:rFonts w:hint="default" w:ascii="宋体" w:hAnsi="宋体" w:eastAsia="宋体" w:cs="宋体"/>
                <w:sz w:val="18"/>
                <w:szCs w:val="22"/>
                <w:lang w:val="en-US" w:eastAsia="zh-CN" w:bidi="ar-SA"/>
              </w:rPr>
              <w:t>2</w:t>
            </w:r>
            <w:r>
              <w:rPr>
                <w:rFonts w:hint="default" w:ascii="宋体" w:hAnsi="宋体" w:eastAsia="宋体" w:cs="宋体"/>
                <w:spacing w:val="-12"/>
                <w:sz w:val="18"/>
                <w:szCs w:val="22"/>
                <w:lang w:val="en-US" w:eastAsia="zh-CN" w:bidi="ar-SA"/>
              </w:rPr>
              <w:t xml:space="preserve"> 次，有重大活动、突发事件等特殊情况适当调整。 </w:t>
            </w:r>
          </w:p>
          <w:p w14:paraId="1EDE8C32">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3.河道、沟渠水面无垃圾、白色污染等各类漂浮物，无浮萍</w:t>
            </w:r>
          </w:p>
          <w:p w14:paraId="33EDBBFA">
            <w:pPr>
              <w:keepNext w:val="0"/>
              <w:keepLines w:val="0"/>
              <w:pageBreakBefore w:val="0"/>
              <w:widowControl w:val="0"/>
              <w:spacing w:before="36"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等影响景观的水生植物。管理范围(5 米内)内无乱堆放。 </w:t>
            </w:r>
          </w:p>
          <w:p w14:paraId="27CDE54E">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4.河岸垃圾、杂草清理到位。各类垃圾杂物清运及时、处理</w:t>
            </w:r>
          </w:p>
          <w:p w14:paraId="02ED51CB">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规范。 </w:t>
            </w:r>
          </w:p>
        </w:tc>
        <w:tc>
          <w:tcPr>
            <w:tcW w:w="3497" w:type="dxa"/>
            <w:shd w:val="clear" w:color="auto" w:fill="FFFFFF"/>
            <w:noWrap w:val="0"/>
            <w:vAlign w:val="top"/>
          </w:tcPr>
          <w:p w14:paraId="7E462DD4">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1.每发现一次无巡查机制的扣 0.5 分； </w:t>
            </w:r>
          </w:p>
          <w:p w14:paraId="032D6BCC">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2.河道、沟渠水面有垃圾、白色污染等漂浮物、水生植物等情况的扣 0.2 分； </w:t>
            </w:r>
          </w:p>
          <w:p w14:paraId="26C0EE1A">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3.河岸有垃圾、杂草等情况的扣 0.2 分； </w:t>
            </w:r>
          </w:p>
          <w:p w14:paraId="25C933DE">
            <w:pPr>
              <w:keepNext w:val="0"/>
              <w:keepLines w:val="0"/>
              <w:pageBreakBefore w:val="0"/>
              <w:widowControl w:val="0"/>
              <w:spacing w:before="36"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4.垃圾未及时转运的扣 0.2 分。 </w:t>
            </w:r>
          </w:p>
        </w:tc>
      </w:tr>
      <w:tr w14:paraId="1BA28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jc w:val="center"/>
        </w:trPr>
        <w:tc>
          <w:tcPr>
            <w:tcW w:w="1049" w:type="dxa"/>
            <w:vMerge w:val="restart"/>
            <w:shd w:val="clear" w:color="auto" w:fill="FFFFFF"/>
            <w:noWrap w:val="0"/>
            <w:vAlign w:val="top"/>
          </w:tcPr>
          <w:p w14:paraId="7F88ABE5">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2A96FC0A">
            <w:pPr>
              <w:keepNext w:val="0"/>
              <w:keepLines w:val="0"/>
              <w:pageBreakBefore w:val="0"/>
              <w:widowControl w:val="0"/>
              <w:spacing w:before="0" w:after="0" w:line="300" w:lineRule="exact"/>
              <w:ind w:left="0" w:right="0"/>
              <w:jc w:val="left"/>
              <w:rPr>
                <w:rFonts w:hint="default" w:ascii="Calibri" w:hAnsi="宋体" w:eastAsia="宋体" w:cs="宋体"/>
                <w:sz w:val="20"/>
                <w:szCs w:val="22"/>
                <w:lang w:val="en-US" w:eastAsia="en-US" w:bidi="ar-SA"/>
              </w:rPr>
            </w:pPr>
          </w:p>
          <w:p w14:paraId="62CDFE5F">
            <w:pPr>
              <w:keepNext w:val="0"/>
              <w:keepLines w:val="0"/>
              <w:pageBreakBefore w:val="0"/>
              <w:widowControl w:val="0"/>
              <w:spacing w:before="0" w:after="0" w:line="300" w:lineRule="exact"/>
              <w:ind w:left="0" w:right="0"/>
              <w:jc w:val="left"/>
              <w:rPr>
                <w:rFonts w:hint="default" w:ascii="Calibri" w:hAnsi="宋体" w:eastAsia="宋体" w:cs="宋体"/>
                <w:sz w:val="26"/>
                <w:szCs w:val="22"/>
                <w:lang w:val="en-US" w:eastAsia="en-US" w:bidi="ar-SA"/>
              </w:rPr>
            </w:pPr>
          </w:p>
          <w:p w14:paraId="586DCF3F">
            <w:pPr>
              <w:keepNext w:val="0"/>
              <w:keepLines w:val="0"/>
              <w:pageBreakBefore w:val="0"/>
              <w:widowControl w:val="0"/>
              <w:spacing w:before="0"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b/>
                <w:sz w:val="21"/>
                <w:szCs w:val="22"/>
                <w:lang w:val="en-US" w:eastAsia="zh-CN" w:bidi="ar-SA"/>
              </w:rPr>
              <w:t>八、自然灾害保障</w:t>
            </w:r>
            <w:r>
              <w:rPr>
                <w:rFonts w:hint="default" w:ascii="宋体" w:hAnsi="宋体" w:eastAsia="宋体" w:cs="宋体"/>
                <w:sz w:val="18"/>
                <w:szCs w:val="22"/>
                <w:lang w:val="en-US" w:eastAsia="zh-CN" w:bidi="ar-SA"/>
              </w:rPr>
              <w:t xml:space="preserve"> </w:t>
            </w:r>
          </w:p>
        </w:tc>
        <w:tc>
          <w:tcPr>
            <w:tcW w:w="4540" w:type="dxa"/>
            <w:shd w:val="clear" w:color="auto" w:fill="FFFFFF"/>
            <w:noWrap w:val="0"/>
            <w:vAlign w:val="top"/>
          </w:tcPr>
          <w:p w14:paraId="1975B3D1">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1.遇大风、大雾、雷暴雨等灾害性天气，应按照气象部门发布的预警时间，暂停水域保洁作业。 </w:t>
            </w:r>
          </w:p>
          <w:p w14:paraId="5A0CFE22">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2.灾害性天气结束后应及时组织力量做好突击保洁，第一时间清除大面积污染物、漂浮废弃物。 </w:t>
            </w:r>
          </w:p>
          <w:p w14:paraId="3FAFAF39">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3.河道、沟渠保洁人员要规范、文明作业。禁止将清捞的垃圾向桥、涵、闸站等隐蔽处倾倒。 </w:t>
            </w:r>
          </w:p>
        </w:tc>
        <w:tc>
          <w:tcPr>
            <w:tcW w:w="3497" w:type="dxa"/>
            <w:shd w:val="clear" w:color="auto" w:fill="FFFFFF"/>
            <w:noWrap w:val="0"/>
            <w:vAlign w:val="top"/>
          </w:tcPr>
          <w:p w14:paraId="04C56B37">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1.每发现一次应急响应不迅速的扣 2 分；响应后保洁不达标的扣 1 分。 </w:t>
            </w:r>
          </w:p>
        </w:tc>
      </w:tr>
      <w:tr w14:paraId="1EA7B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1049" w:type="dxa"/>
            <w:vMerge w:val="continue"/>
            <w:shd w:val="clear" w:color="auto" w:fill="FFFFFF"/>
            <w:noWrap w:val="0"/>
            <w:vAlign w:val="top"/>
          </w:tcPr>
          <w:p w14:paraId="6BF2AFA6">
            <w:pPr>
              <w:keepNext w:val="0"/>
              <w:keepLines w:val="0"/>
              <w:pageBreakBefore w:val="0"/>
              <w:widowControl w:val="0"/>
              <w:spacing w:before="0" w:after="0" w:line="300" w:lineRule="exact"/>
              <w:ind w:left="0" w:right="0"/>
              <w:jc w:val="left"/>
              <w:rPr>
                <w:rFonts w:hint="default" w:ascii="Times New Roman" w:hAnsi="宋体" w:eastAsia="宋体" w:cs="宋体"/>
                <w:sz w:val="18"/>
                <w:szCs w:val="22"/>
                <w:lang w:val="en-US" w:eastAsia="en-US" w:bidi="ar-SA"/>
              </w:rPr>
            </w:pPr>
          </w:p>
        </w:tc>
        <w:tc>
          <w:tcPr>
            <w:tcW w:w="4540" w:type="dxa"/>
            <w:shd w:val="clear" w:color="auto" w:fill="FFFFFF"/>
            <w:noWrap w:val="0"/>
            <w:vAlign w:val="top"/>
          </w:tcPr>
          <w:p w14:paraId="64CE8EC7">
            <w:pPr>
              <w:keepNext w:val="0"/>
              <w:keepLines w:val="0"/>
              <w:pageBreakBefore w:val="0"/>
              <w:widowControl w:val="0"/>
              <w:spacing w:before="38" w:after="0" w:line="300" w:lineRule="exact"/>
              <w:ind w:left="0" w:right="0"/>
              <w:jc w:val="left"/>
              <w:rPr>
                <w:rFonts w:hint="default" w:ascii="宋体" w:hAnsi="宋体" w:eastAsia="宋体" w:cs="宋体"/>
                <w:spacing w:val="-14"/>
                <w:sz w:val="18"/>
                <w:szCs w:val="22"/>
                <w:lang w:val="en-US" w:eastAsia="en-US" w:bidi="ar-SA"/>
              </w:rPr>
            </w:pPr>
            <w:r>
              <w:rPr>
                <w:rFonts w:hint="default" w:ascii="宋体" w:hAnsi="宋体" w:eastAsia="宋体" w:cs="宋体"/>
                <w:spacing w:val="-14"/>
                <w:sz w:val="18"/>
                <w:szCs w:val="22"/>
                <w:lang w:val="en-US" w:eastAsia="zh-CN" w:bidi="ar-SA"/>
              </w:rPr>
              <w:t>暴雨过后，及时清除马路上的积水、淤泥、残渣、漂浮物等。</w:t>
            </w:r>
          </w:p>
          <w:p w14:paraId="0A0DE918">
            <w:pPr>
              <w:keepNext w:val="0"/>
              <w:keepLines w:val="0"/>
              <w:pageBreakBefore w:val="0"/>
              <w:widowControl w:val="0"/>
              <w:spacing w:before="40"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pacing w:val="-7"/>
                <w:sz w:val="18"/>
                <w:szCs w:val="22"/>
                <w:lang w:val="en-US" w:eastAsia="zh-CN" w:bidi="ar-SA"/>
              </w:rPr>
              <w:t>遇到特大暴雨洪水灾害时，环卫工人要及时清除紧急避难场</w:t>
            </w:r>
            <w:r>
              <w:rPr>
                <w:rFonts w:hint="default" w:ascii="宋体" w:hAnsi="宋体" w:eastAsia="宋体" w:cs="宋体"/>
                <w:spacing w:val="-11"/>
                <w:sz w:val="18"/>
                <w:szCs w:val="22"/>
                <w:lang w:val="en-US" w:eastAsia="zh-CN" w:bidi="ar-SA"/>
              </w:rPr>
              <w:t>所及周边的垃圾，并配合做好防疫消毒工作。洪灾过后，环</w:t>
            </w:r>
            <w:r>
              <w:rPr>
                <w:rFonts w:hint="default" w:ascii="宋体" w:hAnsi="宋体" w:eastAsia="宋体" w:cs="宋体"/>
                <w:spacing w:val="-15"/>
                <w:sz w:val="18"/>
                <w:szCs w:val="22"/>
                <w:lang w:val="en-US" w:eastAsia="zh-CN" w:bidi="ar-SA"/>
              </w:rPr>
              <w:t>卫工人应及时清理市民撤离后遗留的垃圾，做好环境卫生</w:t>
            </w:r>
            <w:r>
              <w:rPr>
                <w:rFonts w:hint="eastAsia" w:ascii="宋体" w:hAnsi="宋体" w:eastAsia="宋体" w:cs="宋体"/>
                <w:spacing w:val="-15"/>
                <w:sz w:val="18"/>
                <w:szCs w:val="22"/>
                <w:lang w:val="en-US" w:eastAsia="zh-CN" w:bidi="ar-SA"/>
              </w:rPr>
              <w:t>工作</w:t>
            </w:r>
          </w:p>
          <w:p w14:paraId="6BEA73BD">
            <w:pPr>
              <w:keepNext w:val="0"/>
              <w:keepLines w:val="0"/>
              <w:pageBreakBefore w:val="0"/>
              <w:widowControl w:val="0"/>
              <w:spacing w:before="3"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作。 </w:t>
            </w:r>
          </w:p>
        </w:tc>
        <w:tc>
          <w:tcPr>
            <w:tcW w:w="3497" w:type="dxa"/>
            <w:shd w:val="clear" w:color="auto" w:fill="FFFFFF"/>
            <w:noWrap w:val="0"/>
            <w:vAlign w:val="top"/>
          </w:tcPr>
          <w:p w14:paraId="72762977">
            <w:pPr>
              <w:keepNext w:val="0"/>
              <w:keepLines w:val="0"/>
              <w:pageBreakBefore w:val="0"/>
              <w:widowControl w:val="0"/>
              <w:spacing w:before="1" w:after="0" w:line="300" w:lineRule="exact"/>
              <w:ind w:left="0" w:right="0"/>
              <w:jc w:val="left"/>
              <w:rPr>
                <w:rFonts w:hint="default" w:ascii="Calibri" w:hAnsi="宋体" w:eastAsia="宋体" w:cs="宋体"/>
                <w:sz w:val="16"/>
                <w:szCs w:val="22"/>
                <w:lang w:val="en-US" w:eastAsia="en-US" w:bidi="ar-SA"/>
              </w:rPr>
            </w:pPr>
          </w:p>
          <w:p w14:paraId="2388F40A">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1.每发现一次暴雨后未在规定时间内清除垃圾的扣1 分。 </w:t>
            </w:r>
          </w:p>
        </w:tc>
      </w:tr>
      <w:tr w14:paraId="78998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49" w:type="dxa"/>
            <w:vMerge w:val="continue"/>
            <w:shd w:val="clear" w:color="auto" w:fill="FFFFFF"/>
            <w:noWrap w:val="0"/>
            <w:vAlign w:val="top"/>
          </w:tcPr>
          <w:p w14:paraId="03DBB81D">
            <w:pPr>
              <w:keepNext w:val="0"/>
              <w:keepLines w:val="0"/>
              <w:pageBreakBefore w:val="0"/>
              <w:widowControl w:val="0"/>
              <w:spacing w:line="300" w:lineRule="exact"/>
              <w:ind w:left="0" w:right="0"/>
              <w:jc w:val="both"/>
              <w:rPr>
                <w:rFonts w:hint="default" w:ascii="Times New Roman" w:hAnsi="Times New Roman" w:eastAsia="Times New Roman" w:cs="Times New Roman"/>
                <w:b/>
                <w:sz w:val="2"/>
                <w:szCs w:val="2"/>
                <w:lang w:val="en-US" w:eastAsia="zh-CN" w:bidi="ar-SA"/>
              </w:rPr>
            </w:pPr>
          </w:p>
        </w:tc>
        <w:tc>
          <w:tcPr>
            <w:tcW w:w="4540" w:type="dxa"/>
            <w:shd w:val="clear" w:color="auto" w:fill="FFFFFF"/>
            <w:noWrap w:val="0"/>
            <w:vAlign w:val="top"/>
          </w:tcPr>
          <w:p w14:paraId="328ACB72">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1.冬季除雪重点区域：道路、桥梁、地下通道、坡道、重要进出口道路等。降雪期间，应组织人工扫雪。先减少地面存雪量，再适量</w:t>
            </w:r>
            <w:r>
              <w:rPr>
                <w:rFonts w:hint="eastAsia" w:ascii="宋体" w:hAnsi="宋体" w:eastAsia="宋体" w:cs="宋体"/>
                <w:sz w:val="18"/>
                <w:szCs w:val="22"/>
                <w:lang w:val="en-US" w:eastAsia="zh-CN" w:bidi="ar-SA"/>
              </w:rPr>
              <w:t>地</w:t>
            </w:r>
            <w:r>
              <w:rPr>
                <w:rFonts w:hint="default" w:ascii="宋体" w:hAnsi="宋体" w:eastAsia="宋体" w:cs="宋体"/>
                <w:sz w:val="18"/>
                <w:szCs w:val="22"/>
                <w:lang w:val="en-US" w:eastAsia="zh-CN" w:bidi="ar-SA"/>
              </w:rPr>
              <w:t>施撒</w:t>
            </w:r>
            <w:r>
              <w:rPr>
                <w:rFonts w:hint="eastAsia" w:ascii="宋体" w:hAnsi="宋体" w:eastAsia="宋体" w:cs="宋体"/>
                <w:sz w:val="18"/>
                <w:szCs w:val="22"/>
                <w:lang w:val="en-US" w:eastAsia="zh-CN" w:bidi="ar-SA"/>
              </w:rPr>
              <w:t>融雪剂</w:t>
            </w:r>
            <w:r>
              <w:rPr>
                <w:rFonts w:hint="default" w:ascii="宋体" w:hAnsi="宋体" w:eastAsia="宋体" w:cs="宋体"/>
                <w:sz w:val="18"/>
                <w:szCs w:val="22"/>
                <w:lang w:val="en-US" w:eastAsia="zh-CN" w:bidi="ar-SA"/>
              </w:rPr>
              <w:t xml:space="preserve">。 </w:t>
            </w:r>
          </w:p>
          <w:p w14:paraId="37700637">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2.大雾天气时，环卫工人应着反光标志服上岗，严禁在机动车道上作业。雾散后，在机动道上作业要采取安全防护措施（安全警示牌、专人疏导车辆维护现场</w:t>
            </w:r>
            <w:r>
              <w:rPr>
                <w:rFonts w:hint="default" w:ascii="宋体" w:hAnsi="宋体" w:eastAsia="宋体" w:cs="宋体"/>
                <w:spacing w:val="-89"/>
                <w:sz w:val="18"/>
                <w:szCs w:val="22"/>
                <w:lang w:val="en-US" w:eastAsia="zh-CN" w:bidi="ar-SA"/>
              </w:rPr>
              <w:t>）</w:t>
            </w:r>
            <w:r>
              <w:rPr>
                <w:rFonts w:hint="default" w:ascii="宋体" w:hAnsi="宋体" w:eastAsia="宋体" w:cs="宋体"/>
                <w:sz w:val="18"/>
                <w:szCs w:val="22"/>
                <w:lang w:val="en-US" w:eastAsia="zh-CN" w:bidi="ar-SA"/>
              </w:rPr>
              <w:t xml:space="preserve">。大雾天气如遇重大活动保障，保障线路上作业人员只能在慢车道靠人字沟侧收集人行道、人字沟的废弃物，靠边作业，确保保障线路干净整洁。 </w:t>
            </w:r>
          </w:p>
          <w:p w14:paraId="216F6329">
            <w:pPr>
              <w:keepNext w:val="0"/>
              <w:keepLines w:val="0"/>
              <w:pageBreakBefore w:val="0"/>
              <w:widowControl w:val="0"/>
              <w:spacing w:before="41"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3.</w:t>
            </w:r>
            <w:r>
              <w:rPr>
                <w:rFonts w:hint="default" w:ascii="宋体" w:hAnsi="宋体" w:eastAsia="宋体" w:cs="宋体"/>
                <w:spacing w:val="-15"/>
                <w:sz w:val="18"/>
                <w:szCs w:val="22"/>
                <w:lang w:val="en-US" w:eastAsia="zh-CN" w:bidi="ar-SA"/>
              </w:rPr>
              <w:t xml:space="preserve">重大保障活动，提前 </w:t>
            </w:r>
            <w:r>
              <w:rPr>
                <w:rFonts w:hint="default" w:ascii="宋体" w:hAnsi="宋体" w:eastAsia="宋体" w:cs="宋体"/>
                <w:sz w:val="18"/>
                <w:szCs w:val="22"/>
                <w:lang w:val="en-US" w:eastAsia="zh-CN" w:bidi="ar-SA"/>
              </w:rPr>
              <w:t>1</w:t>
            </w:r>
            <w:r>
              <w:rPr>
                <w:rFonts w:hint="default" w:ascii="宋体" w:hAnsi="宋体" w:eastAsia="宋体" w:cs="宋体"/>
                <w:spacing w:val="-12"/>
                <w:sz w:val="18"/>
                <w:szCs w:val="22"/>
                <w:lang w:val="en-US" w:eastAsia="zh-CN" w:bidi="ar-SA"/>
              </w:rPr>
              <w:t xml:space="preserve"> 小时完成清除落叶、场地清扫工作；</w:t>
            </w:r>
          </w:p>
          <w:p w14:paraId="3D90600A">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pacing w:val="-16"/>
                <w:sz w:val="18"/>
                <w:szCs w:val="22"/>
                <w:lang w:val="en-US" w:eastAsia="zh-CN" w:bidi="ar-SA"/>
              </w:rPr>
              <w:t>一般性保障活动，提前半小时完成清除落叶、场地清扫工作。</w:t>
            </w:r>
            <w:r>
              <w:rPr>
                <w:rFonts w:hint="default" w:ascii="宋体" w:hAnsi="宋体" w:eastAsia="宋体" w:cs="宋体"/>
                <w:sz w:val="18"/>
                <w:szCs w:val="22"/>
                <w:lang w:val="en-US" w:eastAsia="zh-CN" w:bidi="ar-SA"/>
              </w:rPr>
              <w:t xml:space="preserve"> </w:t>
            </w:r>
          </w:p>
        </w:tc>
        <w:tc>
          <w:tcPr>
            <w:tcW w:w="3497" w:type="dxa"/>
            <w:shd w:val="clear" w:color="auto" w:fill="FFFFFF"/>
            <w:noWrap w:val="0"/>
            <w:vAlign w:val="top"/>
          </w:tcPr>
          <w:p w14:paraId="44339613">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1.每发现一次未在规定时间内清除雪的扣 1 分； </w:t>
            </w:r>
          </w:p>
          <w:p w14:paraId="77B94FB4">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2.每发现一次重大活动时未在规定时间内清除落叶、场地打扫的扣 1 分。 </w:t>
            </w:r>
          </w:p>
        </w:tc>
      </w:tr>
      <w:tr w14:paraId="68163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1" w:hRule="atLeast"/>
          <w:jc w:val="center"/>
        </w:trPr>
        <w:tc>
          <w:tcPr>
            <w:tcW w:w="1049" w:type="dxa"/>
            <w:shd w:val="clear" w:color="auto" w:fill="FFFFFF"/>
            <w:noWrap w:val="0"/>
            <w:vAlign w:val="top"/>
          </w:tcPr>
          <w:p w14:paraId="6D7F1C44">
            <w:pPr>
              <w:keepNext w:val="0"/>
              <w:keepLines w:val="0"/>
              <w:pageBreakBefore w:val="0"/>
              <w:widowControl w:val="0"/>
              <w:spacing w:before="176" w:after="0" w:line="300" w:lineRule="exact"/>
              <w:ind w:left="0" w:right="0"/>
              <w:jc w:val="left"/>
              <w:rPr>
                <w:rFonts w:hint="default" w:ascii="宋体" w:hAnsi="宋体" w:eastAsia="宋体" w:cs="宋体"/>
                <w:b/>
                <w:sz w:val="21"/>
                <w:szCs w:val="22"/>
                <w:lang w:val="en-US" w:eastAsia="en-US" w:bidi="ar-SA"/>
              </w:rPr>
            </w:pPr>
            <w:r>
              <w:rPr>
                <w:rFonts w:hint="default" w:ascii="宋体" w:hAnsi="宋体" w:eastAsia="宋体" w:cs="宋体"/>
                <w:b/>
                <w:sz w:val="21"/>
                <w:szCs w:val="22"/>
                <w:lang w:val="en-US" w:eastAsia="zh-CN" w:bidi="ar-SA"/>
              </w:rPr>
              <w:t xml:space="preserve">九、运行管理 </w:t>
            </w:r>
          </w:p>
        </w:tc>
        <w:tc>
          <w:tcPr>
            <w:tcW w:w="4540" w:type="dxa"/>
            <w:shd w:val="clear" w:color="auto" w:fill="FFFFFF"/>
            <w:noWrap w:val="0"/>
            <w:vAlign w:val="top"/>
          </w:tcPr>
          <w:p w14:paraId="7EDE4916">
            <w:pPr>
              <w:keepNext w:val="0"/>
              <w:keepLines w:val="0"/>
              <w:pageBreakBefore w:val="0"/>
              <w:widowControl w:val="0"/>
              <w:spacing w:before="38"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1.管理机构健全，有各项管理制度。 </w:t>
            </w:r>
          </w:p>
          <w:p w14:paraId="2058E534">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 合法规范用工，签订劳动合同，缴纳社会保险。 </w:t>
            </w:r>
          </w:p>
          <w:p w14:paraId="281686BF">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3.按时支付工人工资及福利待遇。 </w:t>
            </w:r>
          </w:p>
          <w:p w14:paraId="709774F2">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4.在大扫时间段内，路上所有工人必须持大扫把进行打扫， 不得以小扫把代替或自行改变作业规定，其余时间为保洁时间段，所有工人必须持小扫把、防风簸箕进行作业，不得以方便袋和自制工具代替作业工具。 </w:t>
            </w:r>
          </w:p>
          <w:p w14:paraId="0C0AD1C0">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5.乙方负责人每季度至少参加一次主管部门的工作会议，或者到主管部门了解公司的实际工作状况。 </w:t>
            </w:r>
          </w:p>
        </w:tc>
        <w:tc>
          <w:tcPr>
            <w:tcW w:w="3497" w:type="dxa"/>
            <w:shd w:val="clear" w:color="auto" w:fill="FFFFFF"/>
            <w:noWrap w:val="0"/>
            <w:vAlign w:val="top"/>
          </w:tcPr>
          <w:p w14:paraId="7DC97E15">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1.无管理机构扣 1 分，制度不健全的扣 0.5 分。 </w:t>
            </w:r>
          </w:p>
          <w:p w14:paraId="719A962B">
            <w:pPr>
              <w:keepNext w:val="0"/>
              <w:keepLines w:val="0"/>
              <w:pageBreakBefore w:val="0"/>
              <w:widowControl w:val="0"/>
              <w:spacing w:before="8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2.每发现一例未签订劳动合同或劳务合同的扣 0.5分；未按规定办理社会保险，每例扣 0.5 分。 </w:t>
            </w:r>
          </w:p>
          <w:p w14:paraId="799921F7">
            <w:pPr>
              <w:keepNext w:val="0"/>
              <w:keepLines w:val="0"/>
              <w:pageBreakBefore w:val="0"/>
              <w:widowControl w:val="0"/>
              <w:numPr>
                <w:ilvl w:val="0"/>
                <w:numId w:val="0"/>
              </w:numPr>
              <w:spacing w:before="82" w:after="0" w:line="300" w:lineRule="exact"/>
              <w:ind w:left="0" w:right="0" w:firstLine="0"/>
              <w:jc w:val="both"/>
              <w:rPr>
                <w:rFonts w:hint="default" w:ascii="宋体" w:hAnsi="宋体" w:eastAsia="宋体" w:cs="宋体"/>
                <w:sz w:val="18"/>
                <w:szCs w:val="22"/>
                <w:lang w:val="en-US" w:eastAsia="en-US" w:bidi="ar-SA"/>
              </w:rPr>
            </w:pPr>
            <w:r>
              <w:rPr>
                <w:rFonts w:hint="eastAsia" w:ascii="宋体" w:hAnsi="宋体" w:eastAsia="宋体" w:cs="宋体"/>
                <w:sz w:val="18"/>
                <w:szCs w:val="22"/>
                <w:lang w:val="en-US" w:eastAsia="zh-CN" w:bidi="ar-SA"/>
              </w:rPr>
              <w:t>3.</w:t>
            </w:r>
            <w:r>
              <w:rPr>
                <w:rFonts w:hint="default" w:ascii="宋体" w:hAnsi="宋体" w:eastAsia="宋体" w:cs="宋体"/>
                <w:sz w:val="18"/>
                <w:szCs w:val="22"/>
                <w:lang w:val="en-US" w:eastAsia="zh-CN" w:bidi="ar-SA"/>
              </w:rPr>
              <w:t>每发现一次发现未按时支付工人工资及福利待遇</w:t>
            </w:r>
            <w:r>
              <w:rPr>
                <w:rFonts w:hint="default" w:ascii="宋体" w:hAnsi="宋体" w:eastAsia="宋体" w:cs="宋体"/>
                <w:spacing w:val="-1"/>
                <w:sz w:val="18"/>
                <w:szCs w:val="22"/>
                <w:lang w:val="en-US" w:eastAsia="zh-CN" w:bidi="ar-SA"/>
              </w:rPr>
              <w:t xml:space="preserve">的，每人次扣 </w:t>
            </w:r>
            <w:r>
              <w:rPr>
                <w:rFonts w:hint="default" w:ascii="宋体" w:hAnsi="宋体" w:eastAsia="宋体" w:cs="宋体"/>
                <w:sz w:val="18"/>
                <w:szCs w:val="22"/>
                <w:lang w:val="en-US" w:eastAsia="zh-CN" w:bidi="ar-SA"/>
              </w:rPr>
              <w:t>1</w:t>
            </w:r>
            <w:r>
              <w:rPr>
                <w:rFonts w:hint="default" w:ascii="宋体" w:hAnsi="宋体" w:eastAsia="宋体" w:cs="宋体"/>
                <w:spacing w:val="-4"/>
                <w:sz w:val="18"/>
                <w:szCs w:val="22"/>
                <w:lang w:val="en-US" w:eastAsia="zh-CN" w:bidi="ar-SA"/>
              </w:rPr>
              <w:t xml:space="preserve"> 分；工人上访查实的，每人次扣 </w:t>
            </w:r>
            <w:r>
              <w:rPr>
                <w:rFonts w:hint="default" w:ascii="宋体" w:hAnsi="宋体" w:eastAsia="宋体" w:cs="宋体"/>
                <w:sz w:val="18"/>
                <w:szCs w:val="22"/>
                <w:lang w:val="en-US" w:eastAsia="zh-CN" w:bidi="ar-SA"/>
              </w:rPr>
              <w:t>2 分。</w:t>
            </w:r>
          </w:p>
          <w:p w14:paraId="12BB4D3D">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eastAsia" w:ascii="宋体" w:hAnsi="宋体" w:eastAsia="宋体" w:cs="宋体"/>
                <w:sz w:val="18"/>
                <w:szCs w:val="22"/>
                <w:lang w:val="en-US" w:eastAsia="zh-CN" w:bidi="ar-SA"/>
              </w:rPr>
              <w:t>4.</w:t>
            </w:r>
            <w:r>
              <w:rPr>
                <w:rFonts w:hint="default" w:ascii="宋体" w:hAnsi="宋体" w:eastAsia="宋体" w:cs="宋体"/>
                <w:sz w:val="18"/>
                <w:szCs w:val="22"/>
                <w:lang w:val="en-US" w:eastAsia="en-US" w:bidi="ar-SA"/>
              </w:rPr>
              <w:t>管理、考核台账资料齐全，无台账资料的扣 2—4 分。</w:t>
            </w:r>
          </w:p>
          <w:p w14:paraId="5076ABDB">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eastAsia" w:ascii="宋体" w:hAnsi="宋体" w:eastAsia="宋体" w:cs="宋体"/>
                <w:sz w:val="18"/>
                <w:szCs w:val="22"/>
                <w:lang w:val="en-US" w:eastAsia="zh-CN" w:bidi="ar-SA"/>
              </w:rPr>
              <w:t>5.</w:t>
            </w:r>
            <w:r>
              <w:rPr>
                <w:rFonts w:hint="default" w:ascii="宋体" w:hAnsi="宋体" w:eastAsia="宋体" w:cs="宋体"/>
                <w:sz w:val="18"/>
                <w:szCs w:val="22"/>
                <w:lang w:val="en-US" w:eastAsia="en-US" w:bidi="ar-SA"/>
              </w:rPr>
              <w:t>由于主观原因造成群众投诉的，每次扣 3—6 分。</w:t>
            </w:r>
          </w:p>
          <w:p w14:paraId="6811F27A">
            <w:pPr>
              <w:keepNext w:val="0"/>
              <w:keepLines w:val="0"/>
              <w:pageBreakBefore w:val="0"/>
              <w:widowControl w:val="0"/>
              <w:spacing w:before="0" w:after="0" w:line="300" w:lineRule="exact"/>
              <w:ind w:left="0" w:right="0"/>
              <w:jc w:val="left"/>
              <w:rPr>
                <w:rFonts w:hint="default" w:ascii="宋体" w:hAnsi="宋体" w:eastAsia="宋体" w:cs="宋体"/>
                <w:sz w:val="18"/>
                <w:szCs w:val="22"/>
                <w:lang w:val="en-US" w:eastAsia="en-US" w:bidi="ar-SA"/>
              </w:rPr>
            </w:pPr>
            <w:r>
              <w:rPr>
                <w:rFonts w:hint="eastAsia" w:ascii="宋体" w:hAnsi="宋体" w:eastAsia="宋体" w:cs="宋体"/>
                <w:sz w:val="18"/>
                <w:szCs w:val="22"/>
                <w:lang w:val="en-US" w:eastAsia="zh-CN" w:bidi="ar-SA"/>
              </w:rPr>
              <w:t>6.</w:t>
            </w:r>
            <w:r>
              <w:rPr>
                <w:rFonts w:hint="default" w:ascii="宋体" w:hAnsi="宋体" w:eastAsia="宋体" w:cs="宋体"/>
                <w:sz w:val="18"/>
                <w:szCs w:val="22"/>
                <w:lang w:val="en-US" w:eastAsia="en-US" w:bidi="ar-SA"/>
              </w:rPr>
              <w:t>群众投诉、媒体曝光，每次扣 2—3 分，未及时处理、落实整改，加倍扣罚。</w:t>
            </w:r>
          </w:p>
        </w:tc>
      </w:tr>
      <w:tr w14:paraId="57394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3" w:hRule="atLeast"/>
          <w:jc w:val="center"/>
        </w:trPr>
        <w:tc>
          <w:tcPr>
            <w:tcW w:w="1049" w:type="dxa"/>
            <w:shd w:val="clear" w:color="auto" w:fill="FFFFFF"/>
            <w:noWrap w:val="0"/>
            <w:vAlign w:val="top"/>
          </w:tcPr>
          <w:p w14:paraId="0B9418BD">
            <w:pPr>
              <w:keepNext w:val="0"/>
              <w:keepLines w:val="0"/>
              <w:pageBreakBefore w:val="0"/>
              <w:widowControl w:val="0"/>
              <w:spacing w:before="10" w:after="0" w:line="300" w:lineRule="exact"/>
              <w:ind w:left="0" w:right="0"/>
              <w:jc w:val="left"/>
              <w:rPr>
                <w:rFonts w:hint="default" w:ascii="Calibri" w:hAnsi="宋体" w:eastAsia="宋体" w:cs="宋体"/>
                <w:sz w:val="14"/>
                <w:szCs w:val="22"/>
                <w:lang w:val="en-US" w:eastAsia="en-US" w:bidi="ar-SA"/>
              </w:rPr>
            </w:pPr>
          </w:p>
          <w:p w14:paraId="21A2DBA3">
            <w:pPr>
              <w:keepNext w:val="0"/>
              <w:keepLines w:val="0"/>
              <w:pageBreakBefore w:val="0"/>
              <w:widowControl w:val="0"/>
              <w:spacing w:before="0" w:after="0" w:line="300" w:lineRule="exact"/>
              <w:ind w:left="0" w:right="0"/>
              <w:jc w:val="both"/>
              <w:rPr>
                <w:rFonts w:hint="default" w:ascii="宋体" w:hAnsi="宋体" w:eastAsia="宋体" w:cs="宋体"/>
                <w:sz w:val="18"/>
                <w:szCs w:val="22"/>
                <w:lang w:val="en-US" w:eastAsia="en-US" w:bidi="ar-SA"/>
              </w:rPr>
            </w:pPr>
            <w:r>
              <w:rPr>
                <w:rFonts w:hint="default" w:ascii="宋体" w:hAnsi="宋体" w:eastAsia="宋体" w:cs="宋体"/>
                <w:b/>
                <w:sz w:val="21"/>
                <w:szCs w:val="22"/>
                <w:lang w:val="en-US" w:eastAsia="zh-CN" w:bidi="ar-SA"/>
              </w:rPr>
              <w:t>十、重大活动和应急管理</w:t>
            </w:r>
            <w:r>
              <w:rPr>
                <w:rFonts w:hint="default" w:ascii="宋体" w:hAnsi="宋体" w:eastAsia="宋体" w:cs="宋体"/>
                <w:sz w:val="18"/>
                <w:szCs w:val="22"/>
                <w:lang w:val="en-US" w:eastAsia="zh-CN" w:bidi="ar-SA"/>
              </w:rPr>
              <w:t xml:space="preserve"> </w:t>
            </w:r>
          </w:p>
        </w:tc>
        <w:tc>
          <w:tcPr>
            <w:tcW w:w="4540" w:type="dxa"/>
            <w:shd w:val="clear" w:color="auto" w:fill="FFFFFF"/>
            <w:noWrap w:val="0"/>
            <w:vAlign w:val="top"/>
          </w:tcPr>
          <w:p w14:paraId="4E81B529">
            <w:pPr>
              <w:keepNext w:val="0"/>
              <w:keepLines w:val="0"/>
              <w:pageBreakBefore w:val="0"/>
              <w:widowControl w:val="0"/>
              <w:spacing w:before="39"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1.市、县临时性、阶段性任务服从统一安排，按要求全面做好重大活动保障工作。 </w:t>
            </w:r>
          </w:p>
          <w:p w14:paraId="384D817A">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2.全面做好热线投诉媒体曝光问题的及时解决。 </w:t>
            </w:r>
          </w:p>
          <w:p w14:paraId="1421F56B">
            <w:pPr>
              <w:keepNext w:val="0"/>
              <w:keepLines w:val="0"/>
              <w:pageBreakBefore w:val="0"/>
              <w:widowControl w:val="0"/>
              <w:spacing w:before="2" w:after="0" w:line="300" w:lineRule="exact"/>
              <w:ind w:left="0" w:right="0"/>
              <w:jc w:val="left"/>
              <w:rPr>
                <w:rFonts w:hint="default" w:ascii="宋体" w:hAnsi="宋体" w:eastAsia="宋体" w:cs="宋体"/>
                <w:spacing w:val="-6"/>
                <w:sz w:val="18"/>
                <w:szCs w:val="22"/>
                <w:lang w:val="en-US" w:eastAsia="zh-CN" w:bidi="ar-SA"/>
              </w:rPr>
            </w:pPr>
            <w:r>
              <w:rPr>
                <w:rFonts w:hint="default" w:ascii="宋体" w:hAnsi="宋体" w:eastAsia="宋体" w:cs="宋体"/>
                <w:sz w:val="18"/>
                <w:szCs w:val="22"/>
                <w:lang w:val="en-US" w:eastAsia="zh-CN" w:bidi="ar-SA"/>
              </w:rPr>
              <w:t>3.</w:t>
            </w:r>
            <w:r>
              <w:rPr>
                <w:rFonts w:hint="default" w:ascii="宋体" w:hAnsi="宋体" w:eastAsia="宋体" w:cs="宋体"/>
                <w:spacing w:val="-6"/>
                <w:sz w:val="18"/>
                <w:szCs w:val="22"/>
                <w:lang w:val="en-US" w:eastAsia="zh-CN" w:bidi="ar-SA"/>
              </w:rPr>
              <w:t xml:space="preserve">疫情期间应当落实各项防疫措施，检查口罩佩戴、体温测量，并做好记录。                     </w:t>
            </w:r>
          </w:p>
          <w:p w14:paraId="3B9D5488">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pacing w:val="-6"/>
                <w:sz w:val="18"/>
                <w:szCs w:val="22"/>
                <w:lang w:val="en-US" w:eastAsia="zh-CN" w:bidi="ar-SA"/>
              </w:rPr>
              <w:t>4.</w:t>
            </w:r>
            <w:r>
              <w:rPr>
                <w:rFonts w:hint="default" w:ascii="宋体" w:hAnsi="宋体" w:eastAsia="宋体" w:cs="宋体"/>
                <w:spacing w:val="-11"/>
                <w:sz w:val="18"/>
                <w:szCs w:val="22"/>
                <w:lang w:val="en-US" w:eastAsia="zh-CN" w:bidi="ar-SA"/>
              </w:rPr>
              <w:t xml:space="preserve">要成立环境保障 </w:t>
            </w:r>
            <w:r>
              <w:rPr>
                <w:rFonts w:hint="default" w:ascii="宋体" w:hAnsi="宋体" w:eastAsia="宋体" w:cs="宋体"/>
                <w:sz w:val="18"/>
                <w:szCs w:val="22"/>
                <w:lang w:val="en-US" w:eastAsia="zh-CN" w:bidi="ar-SA"/>
              </w:rPr>
              <w:t>24</w:t>
            </w:r>
            <w:r>
              <w:rPr>
                <w:rFonts w:hint="default" w:ascii="宋体" w:hAnsi="宋体" w:eastAsia="宋体" w:cs="宋体"/>
                <w:spacing w:val="-6"/>
                <w:sz w:val="18"/>
                <w:szCs w:val="22"/>
                <w:lang w:val="en-US" w:eastAsia="zh-CN" w:bidi="ar-SA"/>
              </w:rPr>
              <w:t xml:space="preserve"> 小时应急工作小组，建立和完善环境</w:t>
            </w:r>
            <w:r>
              <w:rPr>
                <w:rFonts w:hint="default" w:ascii="宋体" w:hAnsi="宋体" w:eastAsia="宋体" w:cs="宋体"/>
                <w:spacing w:val="-11"/>
                <w:sz w:val="18"/>
                <w:szCs w:val="22"/>
                <w:lang w:val="en-US" w:eastAsia="zh-CN" w:bidi="ar-SA"/>
              </w:rPr>
              <w:t>应急预警机制和工作联系机制，保证信息通畅。乙方要严格</w:t>
            </w:r>
          </w:p>
          <w:p w14:paraId="2F9849BC">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按照有关规定，在重大保障或创城迎检时无条件按照甲方部署增派人力、物力投入，全面高标准、高水平保障、</w:t>
            </w:r>
            <w:r>
              <w:rPr>
                <w:rFonts w:hint="eastAsia" w:ascii="宋体" w:hAnsi="宋体" w:eastAsia="宋体" w:cs="宋体"/>
                <w:sz w:val="18"/>
                <w:szCs w:val="22"/>
                <w:lang w:val="en-US" w:eastAsia="zh-CN" w:bidi="ar-SA"/>
              </w:rPr>
              <w:t>管控</w:t>
            </w:r>
            <w:r>
              <w:rPr>
                <w:rFonts w:hint="default" w:ascii="宋体" w:hAnsi="宋体" w:eastAsia="宋体" w:cs="宋体"/>
                <w:sz w:val="18"/>
                <w:szCs w:val="22"/>
                <w:lang w:val="en-US" w:eastAsia="zh-CN" w:bidi="ar-SA"/>
              </w:rPr>
              <w:t>，</w:t>
            </w:r>
            <w:r>
              <w:rPr>
                <w:rFonts w:hint="default" w:ascii="宋体" w:hAnsi="宋体" w:eastAsia="宋体" w:cs="宋体"/>
                <w:spacing w:val="-10"/>
                <w:sz w:val="18"/>
                <w:szCs w:val="22"/>
                <w:lang w:val="en-US" w:eastAsia="zh-CN" w:bidi="ar-SA"/>
              </w:rPr>
              <w:t xml:space="preserve">保障沿线道路及进出口、连通道 </w:t>
            </w:r>
            <w:r>
              <w:rPr>
                <w:rFonts w:hint="default" w:ascii="宋体" w:hAnsi="宋体" w:eastAsia="宋体" w:cs="宋体"/>
                <w:sz w:val="18"/>
                <w:szCs w:val="22"/>
                <w:lang w:val="en-US" w:eastAsia="zh-CN" w:bidi="ar-SA"/>
              </w:rPr>
              <w:t>100</w:t>
            </w:r>
            <w:r>
              <w:rPr>
                <w:rFonts w:hint="default" w:ascii="宋体" w:hAnsi="宋体" w:eastAsia="宋体" w:cs="宋体"/>
                <w:spacing w:val="-7"/>
                <w:sz w:val="18"/>
                <w:szCs w:val="22"/>
                <w:lang w:val="en-US" w:eastAsia="zh-CN" w:bidi="ar-SA"/>
              </w:rPr>
              <w:t xml:space="preserve"> 米范围内达国家一级</w:t>
            </w:r>
            <w:r>
              <w:rPr>
                <w:rFonts w:hint="eastAsia" w:ascii="宋体" w:hAnsi="宋体" w:eastAsia="宋体" w:cs="宋体"/>
                <w:spacing w:val="-7"/>
                <w:sz w:val="18"/>
                <w:szCs w:val="22"/>
                <w:lang w:val="en-US" w:eastAsia="zh-CN" w:bidi="ar-SA"/>
              </w:rPr>
              <w:t>道路</w:t>
            </w:r>
            <w:r>
              <w:rPr>
                <w:rFonts w:hint="default" w:ascii="宋体" w:hAnsi="宋体" w:eastAsia="宋体" w:cs="宋体"/>
                <w:spacing w:val="-17"/>
                <w:sz w:val="18"/>
                <w:szCs w:val="22"/>
                <w:lang w:val="en-US" w:eastAsia="zh-CN" w:bidi="ar-SA"/>
              </w:rPr>
              <w:t>标准，绿化带</w:t>
            </w:r>
            <w:r>
              <w:rPr>
                <w:rFonts w:hint="default" w:ascii="宋体" w:hAnsi="宋体" w:eastAsia="宋体" w:cs="宋体"/>
                <w:sz w:val="18"/>
                <w:szCs w:val="22"/>
                <w:lang w:val="en-US" w:eastAsia="zh-CN" w:bidi="ar-SA"/>
              </w:rPr>
              <w:t>（花坛</w:t>
            </w:r>
            <w:r>
              <w:rPr>
                <w:rFonts w:hint="default" w:ascii="宋体" w:hAnsi="宋体" w:eastAsia="宋体" w:cs="宋体"/>
                <w:spacing w:val="-56"/>
                <w:sz w:val="18"/>
                <w:szCs w:val="22"/>
                <w:lang w:val="en-US" w:eastAsia="zh-CN" w:bidi="ar-SA"/>
              </w:rPr>
              <w:t>）</w:t>
            </w:r>
            <w:r>
              <w:rPr>
                <w:rFonts w:hint="default" w:ascii="宋体" w:hAnsi="宋体" w:eastAsia="宋体" w:cs="宋体"/>
                <w:sz w:val="18"/>
                <w:szCs w:val="22"/>
                <w:lang w:val="en-US" w:eastAsia="zh-CN" w:bidi="ar-SA"/>
              </w:rPr>
              <w:t>保洁按一级道路标准进行环卫作业，</w:t>
            </w:r>
          </w:p>
          <w:p w14:paraId="6EBF5E61">
            <w:pPr>
              <w:keepNext w:val="0"/>
              <w:keepLines w:val="0"/>
              <w:pageBreakBefore w:val="0"/>
              <w:widowControl w:val="0"/>
              <w:spacing w:before="35"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活动沿线及重点地段清扫保洁人员按 1 人/5000 平方米设置，作业人员工具齐全、服装整洁，管理人员</w:t>
            </w:r>
            <w:r>
              <w:rPr>
                <w:rFonts w:hint="eastAsia" w:ascii="宋体" w:hAnsi="宋体" w:eastAsia="宋体" w:cs="宋体"/>
                <w:sz w:val="18"/>
                <w:szCs w:val="22"/>
                <w:lang w:val="en-US" w:eastAsia="zh-CN" w:bidi="ar-SA"/>
              </w:rPr>
              <w:t>通信畅通</w:t>
            </w:r>
            <w:r>
              <w:rPr>
                <w:rFonts w:hint="default" w:ascii="宋体" w:hAnsi="宋体" w:eastAsia="宋体" w:cs="宋体"/>
                <w:sz w:val="18"/>
                <w:szCs w:val="22"/>
                <w:lang w:val="en-US" w:eastAsia="zh-CN" w:bidi="ar-SA"/>
              </w:rPr>
              <w:t xml:space="preserve">。 </w:t>
            </w:r>
          </w:p>
        </w:tc>
        <w:tc>
          <w:tcPr>
            <w:tcW w:w="3497" w:type="dxa"/>
            <w:shd w:val="clear" w:color="auto" w:fill="FFFFFF"/>
            <w:noWrap w:val="0"/>
            <w:vAlign w:val="top"/>
          </w:tcPr>
          <w:p w14:paraId="50F18431">
            <w:pPr>
              <w:keepNext w:val="0"/>
              <w:keepLines w:val="0"/>
              <w:pageBreakBefore w:val="0"/>
              <w:widowControl w:val="0"/>
              <w:spacing w:before="39"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1.每发现一次未服从统一部署和安排的，每例扣 5分。 </w:t>
            </w:r>
          </w:p>
          <w:p w14:paraId="2A7BCC05">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2.每发现一次未按要求或未能做好重点活动，重要接待应急保障任务落实的每次扣 5 分； </w:t>
            </w:r>
          </w:p>
          <w:p w14:paraId="7CFA55F1">
            <w:pPr>
              <w:keepNext w:val="0"/>
              <w:keepLines w:val="0"/>
              <w:pageBreakBefore w:val="0"/>
              <w:widowControl w:val="0"/>
              <w:spacing w:before="2" w:after="0" w:line="300" w:lineRule="exact"/>
              <w:ind w:left="0" w:right="0"/>
              <w:jc w:val="left"/>
              <w:rPr>
                <w:rFonts w:hint="default" w:ascii="宋体" w:hAnsi="宋体" w:eastAsia="宋体" w:cs="宋体"/>
                <w:spacing w:val="11"/>
                <w:sz w:val="18"/>
                <w:szCs w:val="22"/>
                <w:lang w:val="en-US" w:eastAsia="en-US" w:bidi="ar-SA"/>
              </w:rPr>
            </w:pPr>
            <w:r>
              <w:rPr>
                <w:rFonts w:hint="default" w:ascii="宋体" w:hAnsi="宋体" w:eastAsia="宋体" w:cs="宋体"/>
                <w:sz w:val="18"/>
                <w:szCs w:val="22"/>
                <w:lang w:val="en-US" w:eastAsia="zh-CN" w:bidi="ar-SA"/>
              </w:rPr>
              <w:t>3.未成立应急小组的扣 1 分，每发现一次突发情况</w:t>
            </w:r>
            <w:r>
              <w:rPr>
                <w:rFonts w:hint="default" w:ascii="宋体" w:hAnsi="宋体" w:eastAsia="宋体" w:cs="宋体"/>
                <w:spacing w:val="5"/>
                <w:sz w:val="18"/>
                <w:szCs w:val="22"/>
                <w:lang w:val="en-US" w:eastAsia="zh-CN" w:bidi="ar-SA"/>
              </w:rPr>
              <w:t xml:space="preserve">下未能及时响应应急机制的扣  </w:t>
            </w:r>
            <w:r>
              <w:rPr>
                <w:rFonts w:hint="default" w:ascii="宋体" w:hAnsi="宋体" w:eastAsia="宋体" w:cs="宋体"/>
                <w:sz w:val="18"/>
                <w:szCs w:val="22"/>
                <w:lang w:val="en-US" w:eastAsia="zh-CN" w:bidi="ar-SA"/>
              </w:rPr>
              <w:t>0.5</w:t>
            </w:r>
            <w:r>
              <w:rPr>
                <w:rFonts w:hint="default" w:ascii="宋体" w:hAnsi="宋体" w:eastAsia="宋体" w:cs="宋体"/>
                <w:spacing w:val="11"/>
                <w:sz w:val="18"/>
                <w:szCs w:val="22"/>
                <w:lang w:val="en-US" w:eastAsia="zh-CN" w:bidi="ar-SA"/>
              </w:rPr>
              <w:t xml:space="preserve"> 分； </w:t>
            </w:r>
          </w:p>
          <w:p w14:paraId="2BDFEC45">
            <w:pPr>
              <w:keepNext w:val="0"/>
              <w:keepLines w:val="0"/>
              <w:pageBreakBefore w:val="0"/>
              <w:widowControl w:val="0"/>
              <w:spacing w:before="2"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4.每发现一次未能及时按照要求做好热线投诉，媒体曝光等问题（确属中标人责任的）每次扣 5 分； </w:t>
            </w:r>
          </w:p>
          <w:p w14:paraId="662E0F0A">
            <w:pPr>
              <w:keepNext w:val="0"/>
              <w:keepLines w:val="0"/>
              <w:pageBreakBefore w:val="0"/>
              <w:widowControl w:val="0"/>
              <w:spacing w:before="40" w:after="0" w:line="300" w:lineRule="exact"/>
              <w:ind w:left="0" w:right="0"/>
              <w:jc w:val="left"/>
              <w:rPr>
                <w:rFonts w:hint="default" w:ascii="宋体" w:hAnsi="宋体" w:eastAsia="宋体" w:cs="宋体"/>
                <w:sz w:val="18"/>
                <w:szCs w:val="22"/>
                <w:lang w:val="en-US" w:eastAsia="en-US" w:bidi="ar-SA"/>
              </w:rPr>
            </w:pPr>
            <w:r>
              <w:rPr>
                <w:rFonts w:hint="default" w:ascii="宋体" w:hAnsi="宋体" w:eastAsia="宋体" w:cs="宋体"/>
                <w:sz w:val="18"/>
                <w:szCs w:val="22"/>
                <w:lang w:val="en-US" w:eastAsia="zh-CN" w:bidi="ar-SA"/>
              </w:rPr>
              <w:t xml:space="preserve">5.每发现一次未登记、未落实防疫措施的扣 5 分，每发现一次被上级通报或媒体曝光的扣当月承包经费 10%，连续三次被上级通报或媒体曝光的解除合同。 </w:t>
            </w:r>
          </w:p>
        </w:tc>
      </w:tr>
    </w:tbl>
    <w:p w14:paraId="359BF847">
      <w:pPr>
        <w:keepNext w:val="0"/>
        <w:keepLines w:val="0"/>
        <w:pageBreakBefore w:val="0"/>
        <w:widowControl w:val="0"/>
        <w:spacing w:before="0" w:after="0" w:line="440" w:lineRule="exact"/>
        <w:ind w:left="0" w:right="0" w:firstLine="480"/>
        <w:jc w:val="left"/>
        <w:rPr>
          <w:rFonts w:hint="eastAsia" w:ascii="Times New Roman" w:hAnsi="Times New Roman" w:eastAsia="宋体" w:cs="Times New Roman"/>
          <w:spacing w:val="0"/>
          <w:sz w:val="24"/>
          <w:szCs w:val="24"/>
          <w:highlight w:val="none"/>
          <w:lang w:val="en-US" w:eastAsia="zh-CN" w:bidi="ar-SA"/>
        </w:rPr>
      </w:pPr>
      <w:r>
        <w:rPr>
          <w:rFonts w:hint="eastAsia" w:ascii="Times New Roman" w:hAnsi="Times New Roman" w:eastAsia="宋体" w:cs="Times New Roman"/>
          <w:spacing w:val="0"/>
          <w:sz w:val="21"/>
          <w:szCs w:val="22"/>
          <w:highlight w:val="none"/>
          <w:lang w:val="en-US" w:eastAsia="zh-CN" w:bidi="ar-SA"/>
        </w:rPr>
        <w:t>1、每月初始计分为100分，日常巡查所发现的问题按上述标准扣罚。</w:t>
      </w:r>
    </w:p>
    <w:p w14:paraId="2F1DD29E">
      <w:pPr>
        <w:keepNext w:val="0"/>
        <w:keepLines w:val="0"/>
        <w:pageBreakBefore w:val="0"/>
        <w:widowControl w:val="0"/>
        <w:spacing w:before="0" w:after="0" w:line="440" w:lineRule="exact"/>
        <w:ind w:left="0" w:right="0" w:firstLine="480"/>
        <w:jc w:val="left"/>
        <w:rPr>
          <w:rFonts w:hint="eastAsia" w:ascii="Times New Roman" w:hAnsi="Times New Roman" w:eastAsia="宋体" w:cs="Times New Roman"/>
          <w:spacing w:val="0"/>
          <w:sz w:val="24"/>
          <w:szCs w:val="24"/>
          <w:highlight w:val="none"/>
          <w:lang w:val="en-US" w:eastAsia="zh-CN" w:bidi="ar-SA"/>
        </w:rPr>
      </w:pPr>
      <w:r>
        <w:rPr>
          <w:rFonts w:hint="eastAsia" w:ascii="Times New Roman" w:hAnsi="Times New Roman" w:eastAsia="宋体" w:cs="Times New Roman"/>
          <w:spacing w:val="0"/>
          <w:sz w:val="21"/>
          <w:szCs w:val="22"/>
          <w:highlight w:val="none"/>
          <w:lang w:val="en-US" w:eastAsia="zh-CN" w:bidi="ar-SA"/>
        </w:rPr>
        <w:t>2、督促的问题期限内未及时完成的按标准加倍扣罚。</w:t>
      </w:r>
    </w:p>
    <w:p w14:paraId="6A7FEB30">
      <w:pPr>
        <w:keepNext w:val="0"/>
        <w:keepLines w:val="0"/>
        <w:pageBreakBefore w:val="0"/>
        <w:widowControl w:val="0"/>
        <w:spacing w:before="0" w:after="0" w:line="440" w:lineRule="exact"/>
        <w:ind w:left="0" w:right="0" w:firstLine="480"/>
        <w:jc w:val="left"/>
        <w:rPr>
          <w:rFonts w:hint="eastAsia" w:ascii="Times New Roman" w:hAnsi="Times New Roman" w:eastAsia="宋体" w:cs="Times New Roman"/>
          <w:spacing w:val="0"/>
          <w:sz w:val="24"/>
          <w:szCs w:val="24"/>
          <w:highlight w:val="none"/>
          <w:lang w:val="en-US" w:eastAsia="zh-CN" w:bidi="ar-SA"/>
        </w:rPr>
      </w:pPr>
      <w:r>
        <w:rPr>
          <w:rFonts w:hint="eastAsia" w:ascii="Times New Roman" w:hAnsi="Times New Roman" w:eastAsia="宋体" w:cs="Times New Roman"/>
          <w:spacing w:val="0"/>
          <w:sz w:val="21"/>
          <w:szCs w:val="22"/>
          <w:highlight w:val="none"/>
          <w:lang w:val="en-US" w:eastAsia="zh-CN" w:bidi="ar-SA"/>
        </w:rPr>
        <w:t xml:space="preserve">3、如整改通知书下达后未及时完成整改通知内容的第二次下发通知书按标准加倍处罚。 </w:t>
      </w:r>
    </w:p>
    <w:p w14:paraId="663D844E">
      <w:pPr>
        <w:rPr>
          <w:rFonts w:hint="eastAsia" w:ascii="Times New Roman" w:hAnsi="Times New Roman"/>
          <w:b/>
          <w:color w:val="auto"/>
          <w:sz w:val="44"/>
          <w:szCs w:val="44"/>
          <w:highlight w:val="none"/>
        </w:rPr>
      </w:pPr>
      <w:bookmarkStart w:id="96" w:name="_Toc7955"/>
      <w:bookmarkStart w:id="97" w:name="_Toc22631"/>
      <w:r>
        <w:rPr>
          <w:rFonts w:hint="eastAsia" w:ascii="Times New Roman" w:hAnsi="Times New Roman"/>
          <w:b/>
          <w:color w:val="auto"/>
          <w:sz w:val="44"/>
          <w:szCs w:val="44"/>
          <w:highlight w:val="none"/>
        </w:rPr>
        <w:br w:type="page"/>
      </w:r>
    </w:p>
    <w:p w14:paraId="31F1A7A8">
      <w:pPr>
        <w:spacing w:line="500" w:lineRule="exact"/>
        <w:jc w:val="center"/>
        <w:outlineLvl w:val="0"/>
        <w:rPr>
          <w:rFonts w:ascii="Times New Roman" w:hAnsi="Times New Roman"/>
          <w:b/>
          <w:color w:val="auto"/>
          <w:sz w:val="44"/>
          <w:szCs w:val="44"/>
          <w:highlight w:val="none"/>
        </w:rPr>
      </w:pPr>
      <w:r>
        <w:rPr>
          <w:rFonts w:hint="eastAsia" w:ascii="Times New Roman" w:hAnsi="Times New Roman"/>
          <w:b/>
          <w:color w:val="auto"/>
          <w:sz w:val="44"/>
          <w:szCs w:val="44"/>
          <w:highlight w:val="none"/>
        </w:rPr>
        <w:t>第六章  响应文件格式</w:t>
      </w:r>
      <w:bookmarkEnd w:id="95"/>
      <w:bookmarkEnd w:id="96"/>
      <w:bookmarkEnd w:id="97"/>
      <w:bookmarkStart w:id="98" w:name="_Hlt26671244"/>
      <w:bookmarkEnd w:id="98"/>
      <w:bookmarkStart w:id="99" w:name="_Hlt26955039"/>
      <w:bookmarkEnd w:id="99"/>
    </w:p>
    <w:p w14:paraId="6A68E5F3">
      <w:pPr>
        <w:jc w:val="center"/>
        <w:rPr>
          <w:rFonts w:hint="eastAsia" w:ascii="仿宋" w:hAnsi="仿宋" w:eastAsia="仿宋" w:cs="仿宋"/>
          <w:b/>
          <w:color w:val="auto"/>
          <w:sz w:val="72"/>
          <w:szCs w:val="21"/>
          <w:highlight w:val="none"/>
        </w:rPr>
      </w:pPr>
    </w:p>
    <w:p w14:paraId="28F6BDF9">
      <w:pPr>
        <w:rPr>
          <w:rFonts w:hint="eastAsia" w:ascii="仿宋" w:hAnsi="仿宋" w:eastAsia="仿宋" w:cs="仿宋"/>
          <w:b/>
          <w:color w:val="auto"/>
          <w:sz w:val="72"/>
          <w:szCs w:val="21"/>
          <w:highlight w:val="none"/>
        </w:rPr>
      </w:pPr>
    </w:p>
    <w:p w14:paraId="1CE2B1CE">
      <w:pPr>
        <w:jc w:val="center"/>
        <w:rPr>
          <w:rFonts w:hint="eastAsia" w:ascii="仿宋" w:hAnsi="仿宋" w:eastAsia="仿宋" w:cs="仿宋"/>
          <w:b/>
          <w:color w:val="auto"/>
          <w:sz w:val="72"/>
          <w:szCs w:val="21"/>
          <w:highlight w:val="none"/>
        </w:rPr>
      </w:pPr>
      <w:r>
        <w:rPr>
          <w:rFonts w:hint="eastAsia" w:ascii="仿宋" w:hAnsi="仿宋" w:eastAsia="仿宋" w:cs="仿宋"/>
          <w:b/>
          <w:color w:val="auto"/>
          <w:sz w:val="72"/>
          <w:szCs w:val="21"/>
          <w:highlight w:val="none"/>
        </w:rPr>
        <w:t>响  应  文  件</w:t>
      </w:r>
    </w:p>
    <w:p w14:paraId="3FCBF617">
      <w:pPr>
        <w:jc w:val="center"/>
        <w:rPr>
          <w:rFonts w:hint="eastAsia" w:ascii="仿宋" w:hAnsi="仿宋" w:eastAsia="仿宋" w:cs="仿宋"/>
          <w:b/>
          <w:color w:val="auto"/>
          <w:sz w:val="72"/>
          <w:szCs w:val="21"/>
          <w:highlight w:val="none"/>
        </w:rPr>
      </w:pPr>
    </w:p>
    <w:p w14:paraId="0EACAA6C">
      <w:pPr>
        <w:jc w:val="center"/>
        <w:rPr>
          <w:rFonts w:hint="eastAsia" w:ascii="仿宋" w:hAnsi="仿宋" w:eastAsia="仿宋" w:cs="仿宋"/>
          <w:b/>
          <w:color w:val="auto"/>
          <w:sz w:val="72"/>
          <w:szCs w:val="21"/>
          <w:highlight w:val="none"/>
        </w:rPr>
      </w:pPr>
    </w:p>
    <w:p w14:paraId="1112B173">
      <w:pPr>
        <w:jc w:val="center"/>
        <w:rPr>
          <w:rFonts w:hint="eastAsia" w:ascii="仿宋" w:hAnsi="仿宋" w:eastAsia="仿宋" w:cs="仿宋"/>
          <w:b/>
          <w:color w:val="auto"/>
          <w:sz w:val="72"/>
          <w:szCs w:val="21"/>
          <w:highlight w:val="none"/>
        </w:rPr>
      </w:pPr>
    </w:p>
    <w:p w14:paraId="152E55CE">
      <w:pPr>
        <w:jc w:val="center"/>
        <w:rPr>
          <w:rFonts w:hint="eastAsia" w:ascii="仿宋" w:hAnsi="仿宋" w:eastAsia="仿宋" w:cs="仿宋"/>
          <w:b/>
          <w:color w:val="auto"/>
          <w:sz w:val="36"/>
          <w:szCs w:val="21"/>
          <w:highlight w:val="none"/>
        </w:rPr>
      </w:pPr>
    </w:p>
    <w:p w14:paraId="2D9E8F30">
      <w:pPr>
        <w:jc w:val="center"/>
        <w:rPr>
          <w:rFonts w:hint="eastAsia" w:ascii="仿宋" w:hAnsi="仿宋" w:eastAsia="仿宋" w:cs="仿宋"/>
          <w:b/>
          <w:color w:val="auto"/>
          <w:sz w:val="36"/>
          <w:szCs w:val="21"/>
          <w:highlight w:val="none"/>
        </w:rPr>
      </w:pPr>
    </w:p>
    <w:p w14:paraId="36E7E5A0">
      <w:pPr>
        <w:jc w:val="center"/>
        <w:rPr>
          <w:rFonts w:hint="eastAsia" w:ascii="仿宋" w:hAnsi="仿宋" w:eastAsia="仿宋" w:cs="仿宋"/>
          <w:b/>
          <w:color w:val="auto"/>
          <w:sz w:val="36"/>
          <w:szCs w:val="21"/>
          <w:highlight w:val="none"/>
        </w:rPr>
      </w:pPr>
    </w:p>
    <w:p w14:paraId="79610603">
      <w:pPr>
        <w:ind w:firstLine="1084"/>
        <w:rPr>
          <w:rFonts w:hint="eastAsia" w:ascii="Times New Roman" w:hAnsi="Times New Roman" w:eastAsia="宋体" w:cs="仿宋"/>
          <w:b/>
          <w:color w:val="auto"/>
          <w:sz w:val="36"/>
          <w:highlight w:val="none"/>
        </w:rPr>
      </w:pPr>
      <w:r>
        <w:rPr>
          <w:rFonts w:hint="eastAsia" w:ascii="Times New Roman" w:hAnsi="Times New Roman" w:eastAsia="宋体" w:cs="仿宋"/>
          <w:b/>
          <w:color w:val="auto"/>
          <w:sz w:val="36"/>
          <w:highlight w:val="none"/>
        </w:rPr>
        <w:t>项 目 名 称：</w:t>
      </w:r>
    </w:p>
    <w:p w14:paraId="1A308798">
      <w:pPr>
        <w:ind w:firstLine="1084"/>
        <w:rPr>
          <w:rFonts w:hint="eastAsia" w:ascii="Times New Roman" w:hAnsi="Times New Roman" w:eastAsia="宋体" w:cs="仿宋"/>
          <w:b/>
          <w:color w:val="auto"/>
          <w:sz w:val="36"/>
          <w:highlight w:val="none"/>
          <w:u w:val="single"/>
        </w:rPr>
      </w:pPr>
      <w:r>
        <w:rPr>
          <w:rFonts w:hint="eastAsia" w:ascii="Times New Roman" w:hAnsi="Times New Roman" w:eastAsia="宋体" w:cs="仿宋"/>
          <w:b/>
          <w:color w:val="auto"/>
          <w:sz w:val="36"/>
          <w:highlight w:val="none"/>
        </w:rPr>
        <w:t>项 目 编 号：</w:t>
      </w:r>
    </w:p>
    <w:p w14:paraId="52CE9847">
      <w:pPr>
        <w:rPr>
          <w:rFonts w:hint="eastAsia" w:ascii="Times New Roman" w:hAnsi="Times New Roman" w:eastAsia="宋体" w:cs="仿宋"/>
          <w:b/>
          <w:color w:val="auto"/>
          <w:sz w:val="36"/>
          <w:highlight w:val="none"/>
          <w:u w:val="single"/>
        </w:rPr>
      </w:pPr>
      <w:r>
        <w:rPr>
          <w:rFonts w:hint="eastAsia" w:ascii="Times New Roman" w:hAnsi="Times New Roman" w:eastAsia="宋体" w:cs="仿宋"/>
          <w:b/>
          <w:color w:val="auto"/>
          <w:sz w:val="36"/>
          <w:highlight w:val="none"/>
        </w:rPr>
        <w:t xml:space="preserve">      供应商名称 ：</w:t>
      </w:r>
      <w:r>
        <w:rPr>
          <w:rFonts w:hint="eastAsia" w:ascii="Times New Roman" w:hAnsi="Times New Roman" w:eastAsia="宋体" w:cs="仿宋"/>
          <w:b/>
          <w:color w:val="auto"/>
          <w:sz w:val="36"/>
          <w:highlight w:val="none"/>
          <w:u w:val="single"/>
        </w:rPr>
        <w:t>（盖CA电子公章）</w:t>
      </w:r>
    </w:p>
    <w:p w14:paraId="5AB4AF43">
      <w:pPr>
        <w:rPr>
          <w:rFonts w:hint="eastAsia" w:ascii="Times New Roman" w:hAnsi="Times New Roman" w:eastAsia="宋体" w:cs="仿宋"/>
          <w:b/>
          <w:color w:val="auto"/>
          <w:sz w:val="36"/>
          <w:highlight w:val="none"/>
          <w:u w:val="single"/>
        </w:rPr>
      </w:pPr>
      <w:r>
        <w:rPr>
          <w:rFonts w:hint="eastAsia" w:ascii="Times New Roman" w:hAnsi="Times New Roman" w:eastAsia="宋体" w:cs="仿宋"/>
          <w:b/>
          <w:color w:val="auto"/>
          <w:sz w:val="36"/>
          <w:highlight w:val="none"/>
        </w:rPr>
        <w:t xml:space="preserve">      日      期 ：</w:t>
      </w:r>
    </w:p>
    <w:p w14:paraId="60B48484">
      <w:pPr>
        <w:rPr>
          <w:rFonts w:hint="eastAsia" w:ascii="仿宋" w:hAnsi="仿宋" w:eastAsia="仿宋" w:cs="仿宋"/>
          <w:color w:val="auto"/>
          <w:highlight w:val="none"/>
        </w:rPr>
      </w:pPr>
    </w:p>
    <w:p w14:paraId="084C9A5E">
      <w:pPr>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clear="all"/>
      </w:r>
      <w:r>
        <w:rPr>
          <w:rFonts w:hint="eastAsia" w:ascii="宋体" w:hAnsi="宋体" w:eastAsia="宋体" w:cs="宋体"/>
          <w:b/>
          <w:bCs/>
          <w:color w:val="auto"/>
          <w:sz w:val="32"/>
          <w:szCs w:val="32"/>
          <w:highlight w:val="none"/>
        </w:rPr>
        <w:t>响应文件目录</w:t>
      </w:r>
    </w:p>
    <w:p w14:paraId="7DCAB687">
      <w:pPr>
        <w:spacing w:line="440" w:lineRule="exact"/>
        <w:jc w:val="center"/>
        <w:rPr>
          <w:rFonts w:hint="eastAsia" w:ascii="仿宋" w:hAnsi="仿宋" w:eastAsia="仿宋" w:cs="仿宋"/>
          <w:b/>
          <w:bCs/>
          <w:color w:val="auto"/>
          <w:sz w:val="32"/>
          <w:szCs w:val="32"/>
          <w:highlight w:val="none"/>
        </w:rPr>
      </w:pPr>
    </w:p>
    <w:p w14:paraId="73C026FD">
      <w:pPr>
        <w:spacing w:line="360" w:lineRule="auto"/>
        <w:rPr>
          <w:rFonts w:hint="default" w:ascii="Times New Roman" w:hAnsi="Times New Roman"/>
          <w:color w:val="auto"/>
          <w:sz w:val="28"/>
          <w:szCs w:val="28"/>
          <w:highlight w:val="none"/>
          <w:lang w:val="en-US"/>
        </w:rPr>
      </w:pPr>
      <w:r>
        <w:rPr>
          <w:rFonts w:hint="eastAsia" w:ascii="Times New Roman" w:hAnsi="Times New Roman"/>
          <w:color w:val="auto"/>
          <w:sz w:val="28"/>
          <w:szCs w:val="28"/>
          <w:highlight w:val="none"/>
        </w:rPr>
        <w:t>一、</w:t>
      </w:r>
      <w:r>
        <w:rPr>
          <w:rFonts w:hint="eastAsia" w:ascii="Times New Roman" w:hAnsi="Times New Roman"/>
          <w:color w:val="auto"/>
          <w:sz w:val="28"/>
          <w:szCs w:val="28"/>
          <w:highlight w:val="none"/>
          <w:lang w:val="en-US" w:eastAsia="zh-CN"/>
        </w:rPr>
        <w:t>磋商响应函</w:t>
      </w:r>
    </w:p>
    <w:p w14:paraId="1832DD16">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rPr>
        <w:t>二、法人授权书</w:t>
      </w:r>
    </w:p>
    <w:p w14:paraId="725857AD">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rPr>
        <w:t>三、磋商报价表</w:t>
      </w:r>
    </w:p>
    <w:p w14:paraId="42287B03">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rPr>
        <w:t>四、分项报价表</w:t>
      </w:r>
    </w:p>
    <w:p w14:paraId="260402F9">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rPr>
        <w:t>五、中小企业声明函</w:t>
      </w:r>
    </w:p>
    <w:p w14:paraId="02F2DEFB">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rPr>
        <w:t>六、</w:t>
      </w:r>
      <w:bookmarkStart w:id="100" w:name="OLE_LINK4"/>
      <w:r>
        <w:rPr>
          <w:rFonts w:hint="eastAsia" w:ascii="Times New Roman" w:hAnsi="Times New Roman"/>
          <w:color w:val="auto"/>
          <w:sz w:val="28"/>
          <w:szCs w:val="28"/>
          <w:highlight w:val="none"/>
        </w:rPr>
        <w:t>技术响应偏离表</w:t>
      </w:r>
      <w:bookmarkEnd w:id="100"/>
      <w:r>
        <w:rPr>
          <w:rFonts w:hint="eastAsia" w:ascii="Times New Roman" w:hAnsi="Times New Roman"/>
          <w:color w:val="auto"/>
          <w:sz w:val="28"/>
          <w:szCs w:val="28"/>
          <w:highlight w:val="none"/>
        </w:rPr>
        <w:t>（技术参数响应）</w:t>
      </w:r>
    </w:p>
    <w:p w14:paraId="3A60F277">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rPr>
        <w:t>七、项目组人员</w:t>
      </w:r>
    </w:p>
    <w:p w14:paraId="34428A50">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rPr>
        <w:t>八、企业业绩</w:t>
      </w:r>
    </w:p>
    <w:p w14:paraId="77C0E9B0">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rPr>
        <w:t>九、磋商所需其他材料</w:t>
      </w:r>
    </w:p>
    <w:p w14:paraId="3ED201D8">
      <w:pPr>
        <w:spacing w:line="440" w:lineRule="exact"/>
        <w:ind w:firstLine="480"/>
        <w:rPr>
          <w:rFonts w:hint="eastAsia" w:ascii="仿宋" w:hAnsi="仿宋" w:eastAsia="仿宋" w:cs="仿宋"/>
          <w:color w:val="auto"/>
          <w:sz w:val="24"/>
          <w:szCs w:val="21"/>
          <w:highlight w:val="none"/>
        </w:rPr>
      </w:pPr>
    </w:p>
    <w:p w14:paraId="199D8D85">
      <w:pPr>
        <w:spacing w:line="440" w:lineRule="exact"/>
        <w:ind w:firstLine="480"/>
        <w:rPr>
          <w:rFonts w:hint="eastAsia" w:ascii="仿宋" w:hAnsi="仿宋" w:eastAsia="仿宋" w:cs="仿宋"/>
          <w:color w:val="auto"/>
          <w:sz w:val="24"/>
          <w:szCs w:val="21"/>
          <w:highlight w:val="none"/>
        </w:rPr>
      </w:pPr>
    </w:p>
    <w:p w14:paraId="4C4AD6D2">
      <w:pPr>
        <w:spacing w:line="440" w:lineRule="exact"/>
        <w:ind w:firstLine="480"/>
        <w:rPr>
          <w:rFonts w:hint="eastAsia" w:ascii="仿宋" w:hAnsi="仿宋" w:eastAsia="仿宋" w:cs="仿宋"/>
          <w:color w:val="auto"/>
          <w:sz w:val="24"/>
          <w:szCs w:val="21"/>
          <w:highlight w:val="none"/>
        </w:rPr>
      </w:pPr>
    </w:p>
    <w:p w14:paraId="6E201645">
      <w:pPr>
        <w:spacing w:line="440" w:lineRule="exact"/>
        <w:ind w:firstLine="480"/>
        <w:rPr>
          <w:rFonts w:hint="eastAsia" w:ascii="仿宋" w:hAnsi="仿宋" w:eastAsia="仿宋" w:cs="仿宋"/>
          <w:color w:val="auto"/>
          <w:sz w:val="24"/>
          <w:szCs w:val="21"/>
          <w:highlight w:val="none"/>
        </w:rPr>
      </w:pPr>
    </w:p>
    <w:p w14:paraId="6003490E">
      <w:pPr>
        <w:spacing w:line="440" w:lineRule="exact"/>
        <w:ind w:firstLine="480"/>
        <w:rPr>
          <w:rFonts w:hint="eastAsia" w:ascii="仿宋" w:hAnsi="仿宋" w:eastAsia="仿宋" w:cs="仿宋"/>
          <w:color w:val="auto"/>
          <w:sz w:val="24"/>
          <w:szCs w:val="21"/>
          <w:highlight w:val="none"/>
        </w:rPr>
      </w:pPr>
    </w:p>
    <w:p w14:paraId="79167ED1">
      <w:pPr>
        <w:spacing w:line="440" w:lineRule="exact"/>
        <w:ind w:firstLine="480"/>
        <w:rPr>
          <w:rFonts w:hint="eastAsia" w:ascii="仿宋" w:hAnsi="仿宋" w:eastAsia="仿宋" w:cs="仿宋"/>
          <w:color w:val="auto"/>
          <w:sz w:val="24"/>
          <w:szCs w:val="21"/>
          <w:highlight w:val="none"/>
        </w:rPr>
      </w:pPr>
    </w:p>
    <w:p w14:paraId="6F0C04DE">
      <w:pPr>
        <w:spacing w:line="440" w:lineRule="exact"/>
        <w:ind w:firstLine="480"/>
        <w:rPr>
          <w:rFonts w:hint="eastAsia" w:ascii="仿宋" w:hAnsi="仿宋" w:eastAsia="仿宋" w:cs="仿宋"/>
          <w:color w:val="auto"/>
          <w:sz w:val="24"/>
          <w:szCs w:val="21"/>
          <w:highlight w:val="none"/>
        </w:rPr>
      </w:pPr>
    </w:p>
    <w:p w14:paraId="3B23BD0C">
      <w:pPr>
        <w:spacing w:line="440" w:lineRule="exact"/>
        <w:ind w:firstLine="480"/>
        <w:rPr>
          <w:rFonts w:hint="eastAsia" w:ascii="仿宋" w:hAnsi="仿宋" w:eastAsia="仿宋" w:cs="仿宋"/>
          <w:color w:val="auto"/>
          <w:sz w:val="24"/>
          <w:szCs w:val="21"/>
          <w:highlight w:val="none"/>
        </w:rPr>
      </w:pPr>
    </w:p>
    <w:p w14:paraId="65184DB3">
      <w:pPr>
        <w:spacing w:line="440" w:lineRule="exact"/>
        <w:ind w:firstLine="480"/>
        <w:rPr>
          <w:rFonts w:hint="eastAsia" w:ascii="仿宋" w:hAnsi="仿宋" w:eastAsia="仿宋" w:cs="仿宋"/>
          <w:color w:val="auto"/>
          <w:sz w:val="24"/>
          <w:szCs w:val="21"/>
          <w:highlight w:val="none"/>
        </w:rPr>
      </w:pPr>
    </w:p>
    <w:p w14:paraId="7069ABC8">
      <w:pPr>
        <w:spacing w:line="440" w:lineRule="exact"/>
        <w:ind w:firstLine="480"/>
        <w:rPr>
          <w:rFonts w:hint="eastAsia" w:ascii="仿宋" w:hAnsi="仿宋" w:eastAsia="仿宋" w:cs="仿宋"/>
          <w:color w:val="auto"/>
          <w:sz w:val="24"/>
          <w:szCs w:val="21"/>
          <w:highlight w:val="none"/>
        </w:rPr>
      </w:pPr>
    </w:p>
    <w:p w14:paraId="20F01D1B">
      <w:pPr>
        <w:spacing w:line="440" w:lineRule="exact"/>
        <w:ind w:firstLine="480"/>
        <w:rPr>
          <w:rFonts w:hint="eastAsia" w:ascii="仿宋" w:hAnsi="仿宋" w:eastAsia="仿宋" w:cs="仿宋"/>
          <w:color w:val="auto"/>
          <w:sz w:val="24"/>
          <w:szCs w:val="21"/>
          <w:highlight w:val="none"/>
        </w:rPr>
      </w:pPr>
    </w:p>
    <w:p w14:paraId="36995B9E">
      <w:pPr>
        <w:spacing w:line="440" w:lineRule="exact"/>
        <w:ind w:firstLine="480"/>
        <w:rPr>
          <w:rFonts w:hint="eastAsia" w:ascii="仿宋" w:hAnsi="仿宋" w:eastAsia="仿宋" w:cs="仿宋"/>
          <w:color w:val="auto"/>
          <w:sz w:val="24"/>
          <w:szCs w:val="21"/>
          <w:highlight w:val="none"/>
        </w:rPr>
      </w:pPr>
    </w:p>
    <w:p w14:paraId="345C88D4">
      <w:pPr>
        <w:spacing w:line="440" w:lineRule="exact"/>
        <w:ind w:firstLine="480"/>
        <w:rPr>
          <w:rFonts w:hint="eastAsia" w:ascii="仿宋" w:hAnsi="仿宋" w:eastAsia="仿宋" w:cs="仿宋"/>
          <w:color w:val="auto"/>
          <w:sz w:val="24"/>
          <w:szCs w:val="21"/>
          <w:highlight w:val="none"/>
        </w:rPr>
      </w:pPr>
    </w:p>
    <w:p w14:paraId="5CF9EAFB">
      <w:pPr>
        <w:spacing w:line="440" w:lineRule="exact"/>
        <w:ind w:firstLine="480"/>
        <w:rPr>
          <w:rFonts w:hint="eastAsia" w:ascii="仿宋" w:hAnsi="仿宋" w:eastAsia="仿宋" w:cs="仿宋"/>
          <w:color w:val="auto"/>
          <w:sz w:val="24"/>
          <w:szCs w:val="21"/>
          <w:highlight w:val="none"/>
        </w:rPr>
      </w:pPr>
    </w:p>
    <w:p w14:paraId="7AB88156">
      <w:pPr>
        <w:spacing w:line="440" w:lineRule="exact"/>
        <w:rPr>
          <w:rFonts w:hint="eastAsia" w:ascii="仿宋" w:hAnsi="仿宋" w:eastAsia="仿宋" w:cs="仿宋"/>
          <w:color w:val="auto"/>
          <w:sz w:val="24"/>
          <w:szCs w:val="21"/>
          <w:highlight w:val="none"/>
        </w:rPr>
      </w:pPr>
    </w:p>
    <w:p w14:paraId="1346BE80">
      <w:pPr>
        <w:rPr>
          <w:b/>
          <w:bCs/>
          <w:color w:val="auto"/>
          <w:sz w:val="32"/>
          <w:highlight w:val="none"/>
        </w:rPr>
      </w:pPr>
      <w:r>
        <w:rPr>
          <w:rFonts w:hint="eastAsia"/>
          <w:b/>
          <w:bCs/>
          <w:color w:val="auto"/>
          <w:sz w:val="32"/>
          <w:highlight w:val="none"/>
        </w:rPr>
        <w:br w:type="page"/>
      </w:r>
    </w:p>
    <w:p w14:paraId="1C06EA87">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一、磋商响应函</w:t>
      </w:r>
    </w:p>
    <w:p w14:paraId="56C6ECE1">
      <w:pPr>
        <w:pStyle w:val="588"/>
        <w:jc w:val="center"/>
        <w:rPr>
          <w:rFonts w:hint="eastAsia" w:ascii="宋体" w:hAnsi="宋体" w:cs="仿宋"/>
          <w:b/>
          <w:color w:val="auto"/>
          <w:sz w:val="24"/>
          <w:szCs w:val="24"/>
          <w:highlight w:val="none"/>
        </w:rPr>
      </w:pPr>
    </w:p>
    <w:p w14:paraId="5DAF345B">
      <w:pPr>
        <w:pStyle w:val="588"/>
        <w:jc w:val="center"/>
        <w:rPr>
          <w:rFonts w:hint="eastAsia" w:ascii="宋体" w:hAnsi="宋体" w:cs="仿宋"/>
          <w:b/>
          <w:color w:val="auto"/>
          <w:sz w:val="32"/>
          <w:szCs w:val="32"/>
          <w:highlight w:val="none"/>
        </w:rPr>
      </w:pPr>
      <w:r>
        <w:rPr>
          <w:rFonts w:hint="eastAsia" w:ascii="宋体" w:hAnsi="宋体" w:cs="仿宋"/>
          <w:b/>
          <w:color w:val="auto"/>
          <w:sz w:val="32"/>
          <w:szCs w:val="32"/>
          <w:highlight w:val="none"/>
        </w:rPr>
        <w:t>磋商</w:t>
      </w:r>
      <w:r>
        <w:rPr>
          <w:rFonts w:hint="eastAsia" w:ascii="宋体" w:hAnsi="宋体" w:cs="仿宋"/>
          <w:b/>
          <w:color w:val="auto"/>
          <w:sz w:val="32"/>
          <w:szCs w:val="32"/>
          <w:highlight w:val="none"/>
          <w:lang w:val="en-US" w:eastAsia="zh-CN"/>
        </w:rPr>
        <w:t>响应</w:t>
      </w:r>
      <w:r>
        <w:rPr>
          <w:rFonts w:hint="eastAsia" w:ascii="宋体" w:hAnsi="宋体" w:cs="仿宋"/>
          <w:b/>
          <w:color w:val="auto"/>
          <w:sz w:val="32"/>
          <w:szCs w:val="32"/>
          <w:highlight w:val="none"/>
        </w:rPr>
        <w:t>函</w:t>
      </w:r>
    </w:p>
    <w:p w14:paraId="0B645273">
      <w:pPr>
        <w:pStyle w:val="588"/>
        <w:spacing w:line="500" w:lineRule="exact"/>
        <w:jc w:val="left"/>
        <w:rPr>
          <w:rFonts w:hint="eastAsia" w:ascii="宋体" w:hAnsi="宋体" w:cs="仿宋"/>
          <w:color w:val="auto"/>
          <w:sz w:val="24"/>
          <w:szCs w:val="24"/>
          <w:highlight w:val="none"/>
        </w:rPr>
      </w:pPr>
      <w:r>
        <w:rPr>
          <w:rFonts w:hint="eastAsia" w:ascii="宋体" w:hAnsi="宋体" w:cs="仿宋"/>
          <w:color w:val="auto"/>
          <w:sz w:val="24"/>
          <w:szCs w:val="24"/>
          <w:highlight w:val="none"/>
          <w:u w:val="single"/>
        </w:rPr>
        <w:t>（采购单位名称）</w:t>
      </w:r>
      <w:r>
        <w:rPr>
          <w:rFonts w:hint="eastAsia" w:ascii="宋体" w:hAnsi="宋体" w:cs="仿宋"/>
          <w:color w:val="auto"/>
          <w:sz w:val="24"/>
          <w:szCs w:val="24"/>
          <w:highlight w:val="none"/>
        </w:rPr>
        <w:t>：</w:t>
      </w:r>
    </w:p>
    <w:p w14:paraId="22BBBA61">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根据</w:t>
      </w:r>
      <w:r>
        <w:rPr>
          <w:rFonts w:ascii="Times New Roman" w:hAnsi="Times New Roman"/>
          <w:color w:val="auto"/>
          <w:sz w:val="24"/>
          <w:szCs w:val="24"/>
          <w:highlight w:val="none"/>
          <w:u w:val="single"/>
        </w:rPr>
        <w:t>（项目编号）</w:t>
      </w:r>
      <w:r>
        <w:rPr>
          <w:rFonts w:ascii="Times New Roman" w:hAnsi="Times New Roman"/>
          <w:color w:val="auto"/>
          <w:sz w:val="24"/>
          <w:szCs w:val="24"/>
          <w:highlight w:val="none"/>
        </w:rPr>
        <w:t>的</w:t>
      </w:r>
      <w:r>
        <w:rPr>
          <w:rFonts w:ascii="Times New Roman" w:hAnsi="Times New Roman"/>
          <w:color w:val="auto"/>
          <w:sz w:val="24"/>
          <w:szCs w:val="24"/>
          <w:highlight w:val="none"/>
          <w:u w:val="single"/>
        </w:rPr>
        <w:t>（项目名称）</w:t>
      </w:r>
      <w:r>
        <w:rPr>
          <w:rFonts w:ascii="Times New Roman" w:hAnsi="Times New Roman"/>
          <w:color w:val="auto"/>
          <w:sz w:val="24"/>
          <w:szCs w:val="24"/>
          <w:highlight w:val="none"/>
        </w:rPr>
        <w:t>竞争性磋商文件，我方在参加本项目竞争性磋商活动中，特做出如下承诺：</w:t>
      </w:r>
    </w:p>
    <w:p w14:paraId="16E9E259">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一、我方具备《中华人民共和国政府采购法》第二十二条第一款规定的6项条件；</w:t>
      </w:r>
    </w:p>
    <w:p w14:paraId="259D3245">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二、我方在参加政府采购活动前三年内（自本项目磋商时间之日起计算），在经营活动中没有重大违法记录（指因违法经营受到刑事处罚或者责令停产停业、吊销许可证或者执照、较大数额罚款等行政处罚）。</w:t>
      </w:r>
    </w:p>
    <w:p w14:paraId="1A9E54EA">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三、我方按磋商文件要求提交响应文件，响应磋商文件规定的响应有效期；</w:t>
      </w:r>
    </w:p>
    <w:p w14:paraId="472C524D">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四、如果我方的响应文件被接受，我方将按《中华人民共和国民法典（第三编合同）》及其他有关法律、法规的规定，按期、按质、按量交付采购单位，全面做到履约守信；</w:t>
      </w:r>
    </w:p>
    <w:p w14:paraId="0A5E1DC8">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五、我方若违背本声明及承诺约定，经查实，自愿接受采购人及相关主管部门相应的规定处理，并依法承担相应的法律责任。</w:t>
      </w:r>
    </w:p>
    <w:p w14:paraId="57A931E9">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六、我方同意采购人、采购代理机构将本</w:t>
      </w:r>
      <w:r>
        <w:rPr>
          <w:rFonts w:hint="eastAsia" w:ascii="Times New Roman" w:hAnsi="Times New Roman"/>
          <w:color w:val="auto"/>
          <w:sz w:val="24"/>
          <w:szCs w:val="24"/>
          <w:highlight w:val="none"/>
        </w:rPr>
        <w:t>函</w:t>
      </w:r>
      <w:r>
        <w:rPr>
          <w:rFonts w:hint="eastAsia" w:ascii="宋体" w:hAnsi="宋体"/>
          <w:color w:val="auto"/>
          <w:sz w:val="24"/>
          <w:szCs w:val="24"/>
          <w:highlight w:val="none"/>
        </w:rPr>
        <w:t>上网公开</w:t>
      </w:r>
      <w:r>
        <w:rPr>
          <w:rFonts w:ascii="Times New Roman" w:hAnsi="Times New Roman"/>
          <w:color w:val="auto"/>
          <w:sz w:val="24"/>
          <w:szCs w:val="24"/>
          <w:highlight w:val="none"/>
        </w:rPr>
        <w:t>。</w:t>
      </w:r>
    </w:p>
    <w:p w14:paraId="10EC9096">
      <w:pPr>
        <w:pStyle w:val="588"/>
        <w:spacing w:line="500" w:lineRule="exact"/>
        <w:ind w:firstLine="480"/>
        <w:jc w:val="left"/>
        <w:rPr>
          <w:rFonts w:ascii="Times New Roman" w:hAnsi="Times New Roman"/>
          <w:color w:val="auto"/>
          <w:sz w:val="24"/>
          <w:szCs w:val="24"/>
          <w:highlight w:val="none"/>
        </w:rPr>
      </w:pPr>
    </w:p>
    <w:p w14:paraId="5E739545">
      <w:pPr>
        <w:pStyle w:val="588"/>
        <w:spacing w:line="500" w:lineRule="exact"/>
        <w:ind w:firstLine="480"/>
        <w:jc w:val="left"/>
        <w:rPr>
          <w:rFonts w:ascii="Times New Roman" w:hAnsi="Times New Roman"/>
          <w:color w:val="auto"/>
          <w:sz w:val="24"/>
          <w:szCs w:val="24"/>
          <w:highlight w:val="none"/>
        </w:rPr>
      </w:pPr>
    </w:p>
    <w:p w14:paraId="13325C8C">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供应商名称： （盖CA电子公章）</w:t>
      </w:r>
    </w:p>
    <w:p w14:paraId="0E153098">
      <w:pPr>
        <w:pStyle w:val="588"/>
        <w:spacing w:line="500" w:lineRule="exact"/>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日期：    年    月   日</w:t>
      </w:r>
    </w:p>
    <w:p w14:paraId="5DF5E081">
      <w:pPr>
        <w:spacing w:line="440" w:lineRule="exact"/>
        <w:ind w:firstLine="480"/>
        <w:rPr>
          <w:rFonts w:ascii="Times New Roman" w:hAnsi="Times New Roman" w:eastAsia="仿宋"/>
          <w:color w:val="auto"/>
          <w:sz w:val="24"/>
          <w:szCs w:val="24"/>
          <w:highlight w:val="none"/>
        </w:rPr>
      </w:pPr>
    </w:p>
    <w:p w14:paraId="3CB291ED">
      <w:pPr>
        <w:spacing w:line="440" w:lineRule="exact"/>
        <w:rPr>
          <w:rFonts w:ascii="Times New Roman" w:hAnsi="Times New Roman" w:eastAsia="仿宋"/>
          <w:color w:val="auto"/>
          <w:sz w:val="24"/>
          <w:szCs w:val="24"/>
          <w:highlight w:val="none"/>
        </w:rPr>
      </w:pPr>
    </w:p>
    <w:p w14:paraId="2994FB81">
      <w:pPr>
        <w:rPr>
          <w:rFonts w:hint="eastAsia" w:ascii="宋体" w:hAnsi="宋体" w:cs="宋体"/>
          <w:b/>
          <w:bCs/>
          <w:color w:val="auto"/>
          <w:sz w:val="32"/>
          <w:szCs w:val="32"/>
          <w:highlight w:val="none"/>
        </w:rPr>
      </w:pPr>
      <w:bookmarkStart w:id="101" w:name="_Toc120614284"/>
      <w:r>
        <w:rPr>
          <w:rFonts w:hint="eastAsia" w:ascii="宋体" w:hAnsi="宋体" w:cs="宋体"/>
          <w:b/>
          <w:bCs/>
          <w:color w:val="auto"/>
          <w:sz w:val="32"/>
          <w:szCs w:val="32"/>
          <w:highlight w:val="none"/>
        </w:rPr>
        <w:br w:type="page"/>
      </w:r>
    </w:p>
    <w:p w14:paraId="53814580">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102" w:name="_Toc15099"/>
      <w:r>
        <w:rPr>
          <w:rFonts w:hint="eastAsia" w:ascii="黑体" w:hAnsi="黑体" w:eastAsia="黑体" w:cs="黑体"/>
          <w:b w:val="0"/>
          <w:bCs w:val="0"/>
          <w:color w:val="auto"/>
          <w:sz w:val="32"/>
          <w:highlight w:val="none"/>
        </w:rPr>
        <w:t>二、供应商资质</w:t>
      </w:r>
      <w:bookmarkEnd w:id="102"/>
    </w:p>
    <w:p w14:paraId="21541DD6">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按磋商文件要求提供相应资质证书</w:t>
      </w:r>
    </w:p>
    <w:p w14:paraId="183A44D0">
      <w:pPr>
        <w:pStyle w:val="588"/>
        <w:spacing w:line="500" w:lineRule="exact"/>
        <w:ind w:firstLine="480"/>
        <w:jc w:val="left"/>
        <w:rPr>
          <w:rFonts w:hint="eastAsia" w:ascii="宋体" w:hAnsi="宋体" w:cs="仿宋"/>
          <w:color w:val="auto"/>
          <w:sz w:val="24"/>
          <w:szCs w:val="24"/>
          <w:highlight w:val="none"/>
        </w:rPr>
      </w:pPr>
    </w:p>
    <w:p w14:paraId="42484119">
      <w:pPr>
        <w:pStyle w:val="588"/>
        <w:spacing w:line="500" w:lineRule="exact"/>
        <w:ind w:firstLine="480"/>
        <w:jc w:val="left"/>
        <w:rPr>
          <w:rFonts w:hint="eastAsia" w:ascii="宋体" w:hAnsi="宋体" w:cs="仿宋"/>
          <w:color w:val="auto"/>
          <w:sz w:val="24"/>
          <w:szCs w:val="24"/>
          <w:highlight w:val="none"/>
        </w:rPr>
      </w:pPr>
    </w:p>
    <w:p w14:paraId="4A2E9D02">
      <w:pPr>
        <w:pStyle w:val="588"/>
        <w:spacing w:line="500" w:lineRule="exact"/>
        <w:ind w:firstLine="480"/>
        <w:jc w:val="left"/>
        <w:rPr>
          <w:rFonts w:hint="eastAsia" w:ascii="宋体" w:hAnsi="宋体" w:cs="仿宋"/>
          <w:color w:val="auto"/>
          <w:sz w:val="24"/>
          <w:szCs w:val="24"/>
          <w:highlight w:val="none"/>
        </w:rPr>
      </w:pPr>
    </w:p>
    <w:p w14:paraId="2D57A7A0">
      <w:pPr>
        <w:pStyle w:val="588"/>
        <w:spacing w:line="500" w:lineRule="exact"/>
        <w:ind w:firstLine="480"/>
        <w:jc w:val="left"/>
        <w:rPr>
          <w:rFonts w:hint="eastAsia" w:ascii="宋体" w:hAnsi="宋体" w:cs="仿宋"/>
          <w:color w:val="auto"/>
          <w:sz w:val="24"/>
          <w:szCs w:val="24"/>
          <w:highlight w:val="none"/>
        </w:rPr>
      </w:pPr>
    </w:p>
    <w:p w14:paraId="573E2432">
      <w:pPr>
        <w:pStyle w:val="588"/>
        <w:spacing w:line="500" w:lineRule="exact"/>
        <w:ind w:firstLine="480"/>
        <w:jc w:val="left"/>
        <w:rPr>
          <w:rFonts w:hint="eastAsia" w:ascii="宋体" w:hAnsi="宋体" w:cs="仿宋"/>
          <w:color w:val="auto"/>
          <w:sz w:val="24"/>
          <w:szCs w:val="24"/>
          <w:highlight w:val="none"/>
        </w:rPr>
      </w:pPr>
    </w:p>
    <w:p w14:paraId="348E60A3">
      <w:pPr>
        <w:pStyle w:val="588"/>
        <w:spacing w:line="500" w:lineRule="exact"/>
        <w:ind w:firstLine="480"/>
        <w:jc w:val="left"/>
        <w:rPr>
          <w:rFonts w:hint="eastAsia" w:ascii="宋体" w:hAnsi="宋体" w:cs="仿宋"/>
          <w:color w:val="auto"/>
          <w:sz w:val="24"/>
          <w:szCs w:val="24"/>
          <w:highlight w:val="none"/>
        </w:rPr>
      </w:pPr>
    </w:p>
    <w:p w14:paraId="00151E0A">
      <w:pPr>
        <w:pStyle w:val="588"/>
        <w:spacing w:line="500" w:lineRule="exact"/>
        <w:ind w:firstLine="480"/>
        <w:jc w:val="left"/>
        <w:rPr>
          <w:rFonts w:hint="eastAsia" w:ascii="宋体" w:hAnsi="宋体" w:cs="仿宋"/>
          <w:color w:val="auto"/>
          <w:sz w:val="24"/>
          <w:szCs w:val="24"/>
          <w:highlight w:val="none"/>
        </w:rPr>
      </w:pPr>
    </w:p>
    <w:p w14:paraId="13BCE1E7">
      <w:pPr>
        <w:pStyle w:val="588"/>
        <w:spacing w:line="500" w:lineRule="exact"/>
        <w:ind w:firstLine="480"/>
        <w:jc w:val="left"/>
        <w:rPr>
          <w:rFonts w:hint="eastAsia" w:ascii="宋体" w:hAnsi="宋体" w:cs="仿宋"/>
          <w:color w:val="auto"/>
          <w:sz w:val="24"/>
          <w:szCs w:val="24"/>
          <w:highlight w:val="none"/>
        </w:rPr>
      </w:pPr>
    </w:p>
    <w:p w14:paraId="50F2D36A">
      <w:pPr>
        <w:pStyle w:val="588"/>
        <w:spacing w:line="500" w:lineRule="exact"/>
        <w:ind w:firstLine="480"/>
        <w:jc w:val="left"/>
        <w:rPr>
          <w:rFonts w:hint="eastAsia" w:ascii="宋体" w:hAnsi="宋体" w:cs="仿宋"/>
          <w:color w:val="auto"/>
          <w:sz w:val="24"/>
          <w:szCs w:val="24"/>
          <w:highlight w:val="none"/>
        </w:rPr>
      </w:pPr>
    </w:p>
    <w:p w14:paraId="7CCC7D60">
      <w:pPr>
        <w:pStyle w:val="588"/>
        <w:spacing w:line="500" w:lineRule="exact"/>
        <w:ind w:firstLine="480"/>
        <w:jc w:val="left"/>
        <w:rPr>
          <w:rFonts w:hint="eastAsia" w:ascii="宋体" w:hAnsi="宋体" w:cs="仿宋"/>
          <w:color w:val="auto"/>
          <w:sz w:val="24"/>
          <w:szCs w:val="24"/>
          <w:highlight w:val="none"/>
        </w:rPr>
      </w:pPr>
    </w:p>
    <w:p w14:paraId="3CE22922">
      <w:pPr>
        <w:pStyle w:val="588"/>
        <w:spacing w:line="500" w:lineRule="exact"/>
        <w:ind w:firstLine="480"/>
        <w:jc w:val="left"/>
        <w:rPr>
          <w:rFonts w:hint="eastAsia" w:ascii="宋体" w:hAnsi="宋体" w:cs="仿宋"/>
          <w:color w:val="auto"/>
          <w:sz w:val="24"/>
          <w:szCs w:val="24"/>
          <w:highlight w:val="none"/>
        </w:rPr>
      </w:pPr>
    </w:p>
    <w:p w14:paraId="770EA7F6">
      <w:pPr>
        <w:pStyle w:val="588"/>
        <w:spacing w:line="500" w:lineRule="exact"/>
        <w:ind w:firstLine="480"/>
        <w:jc w:val="left"/>
        <w:rPr>
          <w:rFonts w:hint="eastAsia" w:ascii="宋体" w:hAnsi="宋体" w:cs="仿宋"/>
          <w:color w:val="auto"/>
          <w:sz w:val="24"/>
          <w:szCs w:val="24"/>
          <w:highlight w:val="none"/>
        </w:rPr>
      </w:pPr>
    </w:p>
    <w:p w14:paraId="4736423B">
      <w:pPr>
        <w:pStyle w:val="588"/>
        <w:spacing w:line="500" w:lineRule="exact"/>
        <w:ind w:firstLine="480"/>
        <w:jc w:val="left"/>
        <w:rPr>
          <w:rFonts w:hint="eastAsia" w:ascii="宋体" w:hAnsi="宋体" w:cs="仿宋"/>
          <w:color w:val="auto"/>
          <w:sz w:val="24"/>
          <w:szCs w:val="24"/>
          <w:highlight w:val="none"/>
        </w:rPr>
      </w:pPr>
    </w:p>
    <w:p w14:paraId="634CEEAC">
      <w:pPr>
        <w:pStyle w:val="588"/>
        <w:spacing w:line="500" w:lineRule="exact"/>
        <w:ind w:firstLine="480"/>
        <w:jc w:val="left"/>
        <w:rPr>
          <w:rFonts w:hint="eastAsia" w:ascii="宋体" w:hAnsi="宋体" w:cs="仿宋"/>
          <w:color w:val="auto"/>
          <w:sz w:val="24"/>
          <w:szCs w:val="24"/>
          <w:highlight w:val="none"/>
        </w:rPr>
      </w:pPr>
    </w:p>
    <w:p w14:paraId="0E14653E">
      <w:pPr>
        <w:pStyle w:val="588"/>
        <w:spacing w:line="500" w:lineRule="exact"/>
        <w:ind w:firstLine="480"/>
        <w:jc w:val="left"/>
        <w:rPr>
          <w:rFonts w:hint="eastAsia" w:ascii="宋体" w:hAnsi="宋体" w:cs="仿宋"/>
          <w:color w:val="auto"/>
          <w:sz w:val="24"/>
          <w:szCs w:val="24"/>
          <w:highlight w:val="none"/>
        </w:rPr>
      </w:pPr>
    </w:p>
    <w:p w14:paraId="2F326F13">
      <w:pPr>
        <w:pStyle w:val="588"/>
        <w:spacing w:line="500" w:lineRule="exact"/>
        <w:ind w:firstLine="480"/>
        <w:jc w:val="left"/>
        <w:rPr>
          <w:rFonts w:hint="eastAsia" w:ascii="宋体" w:hAnsi="宋体" w:cs="仿宋"/>
          <w:color w:val="auto"/>
          <w:sz w:val="24"/>
          <w:szCs w:val="24"/>
          <w:highlight w:val="none"/>
        </w:rPr>
      </w:pPr>
    </w:p>
    <w:p w14:paraId="601CF876">
      <w:pPr>
        <w:pStyle w:val="588"/>
        <w:spacing w:line="500" w:lineRule="exact"/>
        <w:ind w:firstLine="480"/>
        <w:jc w:val="left"/>
        <w:rPr>
          <w:rFonts w:hint="eastAsia" w:ascii="宋体" w:hAnsi="宋体" w:cs="仿宋"/>
          <w:color w:val="auto"/>
          <w:sz w:val="24"/>
          <w:szCs w:val="24"/>
          <w:highlight w:val="none"/>
        </w:rPr>
      </w:pPr>
    </w:p>
    <w:p w14:paraId="61039D61">
      <w:pPr>
        <w:pStyle w:val="588"/>
        <w:spacing w:line="500" w:lineRule="exact"/>
        <w:ind w:firstLine="480"/>
        <w:jc w:val="left"/>
        <w:rPr>
          <w:rFonts w:hint="eastAsia" w:ascii="宋体" w:hAnsi="宋体" w:cs="仿宋"/>
          <w:color w:val="auto"/>
          <w:sz w:val="24"/>
          <w:szCs w:val="24"/>
          <w:highlight w:val="none"/>
        </w:rPr>
      </w:pPr>
    </w:p>
    <w:p w14:paraId="00655691">
      <w:pPr>
        <w:pStyle w:val="588"/>
        <w:spacing w:line="500" w:lineRule="exact"/>
        <w:ind w:firstLine="480"/>
        <w:jc w:val="left"/>
        <w:rPr>
          <w:rFonts w:hint="eastAsia" w:ascii="宋体" w:hAnsi="宋体" w:cs="仿宋"/>
          <w:color w:val="auto"/>
          <w:sz w:val="24"/>
          <w:szCs w:val="24"/>
          <w:highlight w:val="none"/>
        </w:rPr>
      </w:pPr>
    </w:p>
    <w:p w14:paraId="5F4A2B12">
      <w:pPr>
        <w:pStyle w:val="588"/>
        <w:spacing w:line="500" w:lineRule="exact"/>
        <w:ind w:firstLine="480"/>
        <w:jc w:val="left"/>
        <w:rPr>
          <w:rFonts w:hint="eastAsia" w:ascii="宋体" w:hAnsi="宋体" w:cs="仿宋"/>
          <w:color w:val="auto"/>
          <w:sz w:val="24"/>
          <w:szCs w:val="24"/>
          <w:highlight w:val="none"/>
        </w:rPr>
      </w:pPr>
    </w:p>
    <w:p w14:paraId="673ED180">
      <w:pPr>
        <w:pStyle w:val="588"/>
        <w:spacing w:line="500" w:lineRule="exact"/>
        <w:ind w:firstLine="480"/>
        <w:jc w:val="left"/>
        <w:rPr>
          <w:rFonts w:hint="eastAsia" w:ascii="宋体" w:hAnsi="宋体" w:cs="仿宋"/>
          <w:color w:val="auto"/>
          <w:sz w:val="24"/>
          <w:szCs w:val="24"/>
          <w:highlight w:val="none"/>
        </w:rPr>
      </w:pPr>
    </w:p>
    <w:p w14:paraId="1C5439AD">
      <w:pPr>
        <w:pStyle w:val="588"/>
        <w:spacing w:line="500" w:lineRule="exact"/>
        <w:ind w:firstLine="480"/>
        <w:jc w:val="left"/>
        <w:rPr>
          <w:rFonts w:hint="eastAsia" w:ascii="宋体" w:hAnsi="宋体" w:cs="仿宋"/>
          <w:color w:val="auto"/>
          <w:sz w:val="24"/>
          <w:szCs w:val="24"/>
          <w:highlight w:val="none"/>
        </w:rPr>
      </w:pPr>
    </w:p>
    <w:p w14:paraId="2AEE3699">
      <w:pPr>
        <w:pStyle w:val="588"/>
        <w:spacing w:line="500" w:lineRule="exact"/>
        <w:ind w:firstLine="480"/>
        <w:jc w:val="left"/>
        <w:rPr>
          <w:rFonts w:hint="eastAsia" w:ascii="宋体" w:hAnsi="宋体" w:cs="仿宋"/>
          <w:color w:val="auto"/>
          <w:sz w:val="24"/>
          <w:szCs w:val="24"/>
          <w:highlight w:val="none"/>
        </w:rPr>
      </w:pPr>
    </w:p>
    <w:p w14:paraId="1F3CE392">
      <w:pPr>
        <w:pStyle w:val="588"/>
        <w:spacing w:line="500" w:lineRule="exact"/>
        <w:ind w:firstLine="480"/>
        <w:jc w:val="left"/>
        <w:rPr>
          <w:rFonts w:hint="eastAsia" w:ascii="宋体" w:hAnsi="宋体" w:cs="仿宋"/>
          <w:color w:val="auto"/>
          <w:sz w:val="24"/>
          <w:szCs w:val="24"/>
          <w:highlight w:val="none"/>
        </w:rPr>
      </w:pPr>
    </w:p>
    <w:p w14:paraId="33096885">
      <w:pPr>
        <w:rPr>
          <w:color w:val="auto"/>
          <w:highlight w:val="none"/>
        </w:rPr>
      </w:pPr>
    </w:p>
    <w:p w14:paraId="0AFB7EA0">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三、法人授权书</w:t>
      </w:r>
    </w:p>
    <w:p w14:paraId="1D81CCF5">
      <w:pPr>
        <w:pStyle w:val="593"/>
        <w:widowControl w:val="0"/>
        <w:jc w:val="center"/>
        <w:rPr>
          <w:rFonts w:ascii="方正小标宋_GBK" w:hAnsi="Calibri" w:eastAsia="方正小标宋_GBK"/>
          <w:b w:val="0"/>
          <w:bCs/>
          <w:color w:val="auto"/>
          <w:szCs w:val="32"/>
          <w:highlight w:val="none"/>
        </w:rPr>
      </w:pPr>
      <w:r>
        <w:rPr>
          <w:rFonts w:hint="eastAsia" w:ascii="方正小标宋_GBK" w:hAnsi="Calibri" w:eastAsia="方正小标宋_GBK"/>
          <w:b w:val="0"/>
          <w:bCs/>
          <w:color w:val="auto"/>
          <w:szCs w:val="32"/>
          <w:highlight w:val="none"/>
        </w:rPr>
        <w:t>法人授权书</w:t>
      </w:r>
    </w:p>
    <w:p w14:paraId="6D357E77">
      <w:pPr>
        <w:pStyle w:val="588"/>
        <w:spacing w:line="500" w:lineRule="exact"/>
        <w:jc w:val="left"/>
        <w:rPr>
          <w:rFonts w:hint="eastAsia" w:ascii="仿宋" w:hAnsi="仿宋" w:eastAsia="仿宋" w:cs="仿宋"/>
          <w:color w:val="auto"/>
          <w:sz w:val="24"/>
          <w:szCs w:val="24"/>
          <w:highlight w:val="none"/>
        </w:rPr>
      </w:pPr>
    </w:p>
    <w:p w14:paraId="384179DE">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本授权书声明：____________（供应商名称）授权________________（被授权人的姓名）为我方就</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号</w:t>
      </w:r>
      <w:r>
        <w:rPr>
          <w:rFonts w:hint="eastAsia" w:ascii="宋体" w:hAnsi="宋体"/>
          <w:color w:val="auto"/>
          <w:sz w:val="24"/>
          <w:szCs w:val="24"/>
          <w:highlight w:val="none"/>
          <w:u w:val="single"/>
        </w:rPr>
        <w:t xml:space="preserve">          （项目名称）    </w:t>
      </w:r>
      <w:r>
        <w:rPr>
          <w:rFonts w:hint="eastAsia" w:ascii="宋体" w:hAnsi="宋体" w:cs="仿宋"/>
          <w:color w:val="auto"/>
          <w:sz w:val="24"/>
          <w:szCs w:val="24"/>
          <w:highlight w:val="none"/>
        </w:rPr>
        <w:t>采购活动的合法代理人，以本单位名义全权处理一切与该项目采购有关的事务。</w:t>
      </w:r>
    </w:p>
    <w:p w14:paraId="42ECFD02">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本授权书于______年____月____日起生效，特此声明。</w:t>
      </w:r>
    </w:p>
    <w:p w14:paraId="18B31AE2">
      <w:pPr>
        <w:pStyle w:val="588"/>
        <w:spacing w:line="500" w:lineRule="exact"/>
        <w:ind w:firstLine="480"/>
        <w:jc w:val="left"/>
        <w:rPr>
          <w:rFonts w:hint="eastAsia" w:ascii="宋体" w:hAnsi="宋体" w:cs="仿宋"/>
          <w:color w:val="auto"/>
          <w:sz w:val="24"/>
          <w:szCs w:val="24"/>
          <w:highlight w:val="none"/>
        </w:rPr>
      </w:pPr>
    </w:p>
    <w:p w14:paraId="2A1B0BD2">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被授权人身份证号码：</w:t>
      </w:r>
    </w:p>
    <w:p w14:paraId="7E9AD4AD">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被授权人联系电话：（手机）</w:t>
      </w:r>
    </w:p>
    <w:p w14:paraId="66466A3E">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授权单位名称：（盖CA电子公章）</w:t>
      </w:r>
    </w:p>
    <w:p w14:paraId="2DB826AA">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单位地址：</w:t>
      </w:r>
    </w:p>
    <w:p w14:paraId="546F511D">
      <w:pPr>
        <w:pStyle w:val="588"/>
        <w:spacing w:line="500" w:lineRule="exact"/>
        <w:ind w:firstLine="480"/>
        <w:jc w:val="left"/>
        <w:rPr>
          <w:rFonts w:hint="eastAsia" w:ascii="宋体" w:hAnsi="宋体" w:cs="仿宋"/>
          <w:color w:val="auto"/>
          <w:sz w:val="24"/>
          <w:szCs w:val="24"/>
          <w:highlight w:val="none"/>
        </w:rPr>
      </w:pPr>
      <w:r>
        <w:rPr>
          <w:rFonts w:hint="eastAsia" w:ascii="宋体" w:hAnsi="宋体" w:cs="仿宋"/>
          <w:color w:val="auto"/>
          <w:sz w:val="24"/>
          <w:szCs w:val="24"/>
          <w:highlight w:val="none"/>
        </w:rPr>
        <w:t>日期：</w:t>
      </w:r>
      <w:bookmarkStart w:id="103" w:name="_Hlt26671380"/>
      <w:bookmarkEnd w:id="103"/>
      <w:bookmarkStart w:id="104" w:name="_格式3__银行出具的资信证明"/>
      <w:bookmarkEnd w:id="104"/>
      <w:bookmarkStart w:id="105" w:name="_Hlt26955070"/>
      <w:bookmarkEnd w:id="105"/>
    </w:p>
    <w:p w14:paraId="4D87B4BA">
      <w:pPr>
        <w:spacing w:line="500" w:lineRule="exact"/>
        <w:rPr>
          <w:rFonts w:hint="eastAsia" w:ascii="仿宋" w:hAnsi="仿宋" w:eastAsia="仿宋" w:cs="仿宋"/>
          <w:bCs/>
          <w:color w:val="auto"/>
          <w:sz w:val="24"/>
          <w:szCs w:val="21"/>
          <w:highlight w:val="none"/>
        </w:rPr>
      </w:pPr>
    </w:p>
    <w:p w14:paraId="6A2D32B0">
      <w:pPr>
        <w:tabs>
          <w:tab w:val="left" w:pos="360"/>
        </w:tabs>
        <w:ind w:firstLine="480"/>
        <w:rPr>
          <w:rFonts w:hint="eastAsia" w:ascii="仿宋" w:hAnsi="仿宋" w:eastAsia="仿宋" w:cs="仿宋"/>
          <w:color w:val="auto"/>
          <w:sz w:val="24"/>
          <w:szCs w:val="24"/>
          <w:highlight w:val="none"/>
          <w:u w:val="single"/>
        </w:rPr>
      </w:pPr>
    </w:p>
    <w:p w14:paraId="62FE7216">
      <w:pPr>
        <w:tabs>
          <w:tab w:val="left" w:pos="360"/>
        </w:tabs>
        <w:ind w:firstLine="480"/>
        <w:rPr>
          <w:rFonts w:hint="eastAsia" w:ascii="仿宋" w:hAnsi="仿宋" w:eastAsia="仿宋" w:cs="仿宋"/>
          <w:color w:val="auto"/>
          <w:sz w:val="24"/>
          <w:szCs w:val="24"/>
          <w:highlight w:val="none"/>
        </w:rPr>
      </w:pPr>
    </w:p>
    <w:p w14:paraId="566BA243">
      <w:pPr>
        <w:ind w:firstLine="420"/>
        <w:rPr>
          <w:rFonts w:hint="eastAsia" w:ascii="仿宋" w:hAnsi="仿宋" w:eastAsia="仿宋" w:cs="仿宋"/>
          <w:i/>
          <w:color w:val="auto"/>
          <w:sz w:val="24"/>
          <w:szCs w:val="24"/>
          <w:highlight w:val="none"/>
          <w:u w:val="single"/>
        </w:rPr>
      </w:pPr>
    </w:p>
    <w:p w14:paraId="7A3CD03C">
      <w:pPr>
        <w:rPr>
          <w:rFonts w:hint="eastAsia" w:ascii="仿宋" w:hAnsi="仿宋" w:eastAsia="仿宋" w:cs="仿宋"/>
          <w:color w:val="auto"/>
          <w:szCs w:val="21"/>
          <w:highlight w:val="none"/>
        </w:rPr>
      </w:pPr>
    </w:p>
    <w:p w14:paraId="0A0D7D38">
      <w:pPr>
        <w:spacing w:line="560" w:lineRule="exact"/>
        <w:jc w:val="left"/>
        <w:rPr>
          <w:rFonts w:hint="eastAsia" w:ascii="仿宋" w:hAnsi="仿宋" w:eastAsia="仿宋" w:cs="仿宋"/>
          <w:b/>
          <w:color w:val="auto"/>
          <w:sz w:val="24"/>
          <w:szCs w:val="44"/>
          <w:highlight w:val="none"/>
        </w:rPr>
      </w:pPr>
    </w:p>
    <w:p w14:paraId="428984B7">
      <w:pPr>
        <w:spacing w:line="560" w:lineRule="exact"/>
        <w:jc w:val="left"/>
        <w:rPr>
          <w:rFonts w:hint="eastAsia" w:ascii="仿宋" w:hAnsi="仿宋" w:eastAsia="仿宋" w:cs="仿宋"/>
          <w:color w:val="auto"/>
          <w:sz w:val="24"/>
          <w:szCs w:val="24"/>
          <w:highlight w:val="none"/>
        </w:rPr>
      </w:pPr>
    </w:p>
    <w:p w14:paraId="30B5433D">
      <w:pPr>
        <w:spacing w:line="460" w:lineRule="exact"/>
        <w:jc w:val="center"/>
        <w:rPr>
          <w:rFonts w:hint="eastAsia" w:ascii="仿宋" w:hAnsi="仿宋" w:eastAsia="仿宋" w:cs="仿宋"/>
          <w:b/>
          <w:color w:val="auto"/>
          <w:sz w:val="32"/>
          <w:szCs w:val="32"/>
          <w:highlight w:val="none"/>
        </w:rPr>
      </w:pPr>
    </w:p>
    <w:p w14:paraId="34E13E12">
      <w:pPr>
        <w:spacing w:line="460" w:lineRule="exact"/>
        <w:jc w:val="center"/>
        <w:rPr>
          <w:rFonts w:hint="eastAsia" w:ascii="仿宋" w:hAnsi="仿宋" w:eastAsia="仿宋" w:cs="仿宋"/>
          <w:b/>
          <w:color w:val="auto"/>
          <w:sz w:val="32"/>
          <w:szCs w:val="32"/>
          <w:highlight w:val="none"/>
        </w:rPr>
      </w:pPr>
    </w:p>
    <w:p w14:paraId="40171A3F">
      <w:pPr>
        <w:spacing w:line="460" w:lineRule="exact"/>
        <w:rPr>
          <w:rFonts w:hint="eastAsia" w:ascii="仿宋" w:hAnsi="仿宋" w:eastAsia="仿宋" w:cs="仿宋"/>
          <w:b/>
          <w:color w:val="auto"/>
          <w:sz w:val="32"/>
          <w:szCs w:val="32"/>
          <w:highlight w:val="none"/>
        </w:rPr>
      </w:pPr>
    </w:p>
    <w:p w14:paraId="5156B755">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clear="all"/>
      </w:r>
    </w:p>
    <w:p w14:paraId="06C4068F">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四、磋商报价表</w:t>
      </w:r>
    </w:p>
    <w:p w14:paraId="189AD508">
      <w:pPr>
        <w:pBdr>
          <w:top w:val="none" w:color="000000" w:sz="0" w:space="0"/>
          <w:left w:val="none" w:color="000000" w:sz="0" w:space="0"/>
          <w:bottom w:val="none" w:color="000000" w:sz="0" w:space="0"/>
          <w:right w:val="none" w:color="000000" w:sz="0" w:space="0"/>
        </w:pBdr>
        <w:spacing w:line="480" w:lineRule="exact"/>
        <w:rPr>
          <w:rFonts w:ascii="Times New Roman" w:hAnsi="Times New Roman" w:cs="Calibri"/>
          <w:color w:val="auto"/>
          <w:sz w:val="24"/>
          <w:highlight w:val="none"/>
        </w:rPr>
      </w:pPr>
      <w:r>
        <w:rPr>
          <w:rFonts w:ascii="Times New Roman" w:hAnsi="Times New Roman" w:cs="仿宋"/>
          <w:color w:val="auto"/>
          <w:sz w:val="24"/>
          <w:highlight w:val="none"/>
        </w:rPr>
        <w:t>本次为首次报价</w:t>
      </w:r>
    </w:p>
    <w:p w14:paraId="0827ACA3">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货币单位：人民币元</w:t>
      </w:r>
    </w:p>
    <w:p w14:paraId="0DFFC8D6">
      <w:pPr>
        <w:pBdr>
          <w:top w:val="none" w:color="000000" w:sz="0" w:space="0"/>
          <w:left w:val="none" w:color="000000" w:sz="0" w:space="0"/>
          <w:bottom w:val="none" w:color="000000" w:sz="0" w:space="0"/>
          <w:right w:val="none" w:color="000000" w:sz="0" w:space="0"/>
        </w:pBdr>
        <w:spacing w:line="480" w:lineRule="exact"/>
        <w:rPr>
          <w:rFonts w:ascii="Times New Roman" w:hAnsi="Times New Roman" w:cs="仿宋"/>
          <w:color w:val="auto"/>
          <w:sz w:val="24"/>
          <w:highlight w:val="none"/>
        </w:rPr>
      </w:pPr>
      <w:r>
        <w:rPr>
          <w:rFonts w:ascii="Times New Roman" w:hAnsi="Times New Roman" w:cs="仿宋"/>
          <w:color w:val="auto"/>
          <w:sz w:val="24"/>
          <w:highlight w:val="none"/>
        </w:rPr>
        <w:t>项目编号：</w:t>
      </w:r>
    </w:p>
    <w:p w14:paraId="2EA51167">
      <w:pPr>
        <w:pBdr>
          <w:top w:val="none" w:color="000000" w:sz="0" w:space="0"/>
          <w:left w:val="none" w:color="000000" w:sz="0" w:space="0"/>
          <w:bottom w:val="none" w:color="000000" w:sz="0" w:space="0"/>
          <w:right w:val="none" w:color="000000" w:sz="0" w:space="0"/>
        </w:pBdr>
        <w:spacing w:line="480" w:lineRule="exact"/>
        <w:rPr>
          <w:rFonts w:ascii="Times New Roman" w:hAnsi="Times New Roman" w:cs="仿宋"/>
          <w:color w:val="auto"/>
          <w:sz w:val="24"/>
          <w:highlight w:val="none"/>
        </w:rPr>
      </w:pPr>
      <w:r>
        <w:rPr>
          <w:rFonts w:ascii="Times New Roman" w:hAnsi="Times New Roman" w:cs="仿宋"/>
          <w:color w:val="auto"/>
          <w:sz w:val="24"/>
          <w:highlight w:val="none"/>
        </w:rPr>
        <w:t>采购包号：</w:t>
      </w:r>
    </w:p>
    <w:tbl>
      <w:tblPr>
        <w:tblStyle w:val="4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2379"/>
        <w:gridCol w:w="2200"/>
        <w:gridCol w:w="4523"/>
      </w:tblGrid>
      <w:tr w14:paraId="69EAA33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2438"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00EA73F1">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项目名称</w:t>
            </w:r>
          </w:p>
        </w:tc>
        <w:tc>
          <w:tcPr>
            <w:tcW w:w="2261"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3D6E8B70">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项目内容</w:t>
            </w:r>
          </w:p>
        </w:tc>
        <w:tc>
          <w:tcPr>
            <w:tcW w:w="4650"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54E82BF1">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总价（小写）</w:t>
            </w:r>
          </w:p>
        </w:tc>
      </w:tr>
      <w:tr w14:paraId="474B2E7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2438"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6983D5E2">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项目名称</w:t>
            </w:r>
          </w:p>
        </w:tc>
        <w:tc>
          <w:tcPr>
            <w:tcW w:w="2261"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01B130B2">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详见响应文件</w:t>
            </w:r>
          </w:p>
        </w:tc>
        <w:tc>
          <w:tcPr>
            <w:tcW w:w="4650"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05A5DE3B">
            <w:pPr>
              <w:pBdr>
                <w:top w:val="none" w:color="000000" w:sz="0" w:space="0"/>
                <w:left w:val="none" w:color="000000" w:sz="0" w:space="0"/>
                <w:bottom w:val="none" w:color="000000" w:sz="0" w:space="0"/>
                <w:right w:val="none" w:color="000000" w:sz="0" w:space="0"/>
              </w:pBdr>
              <w:spacing w:line="480" w:lineRule="exact"/>
              <w:ind w:firstLine="240" w:firstLineChars="100"/>
              <w:rPr>
                <w:rFonts w:ascii="Times New Roman" w:hAnsi="Times New Roman"/>
                <w:color w:val="auto"/>
                <w:highlight w:val="none"/>
              </w:rPr>
            </w:pPr>
            <w:r>
              <w:rPr>
                <w:rFonts w:ascii="Times New Roman" w:hAnsi="Times New Roman" w:cs="仿宋"/>
                <w:color w:val="auto"/>
                <w:sz w:val="24"/>
                <w:highlight w:val="none"/>
              </w:rPr>
              <w:t>元</w:t>
            </w:r>
          </w:p>
        </w:tc>
      </w:tr>
      <w:tr w14:paraId="78B6FCB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2438" w:type="dxa"/>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2A416794">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hint="eastAsia" w:ascii="Times New Roman" w:hAnsi="Times New Roman" w:cs="仿宋"/>
                <w:color w:val="auto"/>
                <w:sz w:val="24"/>
                <w:highlight w:val="none"/>
              </w:rPr>
              <w:t>磋商</w:t>
            </w:r>
            <w:r>
              <w:rPr>
                <w:rFonts w:ascii="Times New Roman" w:hAnsi="Times New Roman" w:cs="仿宋"/>
                <w:color w:val="auto"/>
                <w:sz w:val="24"/>
                <w:highlight w:val="none"/>
              </w:rPr>
              <w:t>总价（大写）</w:t>
            </w:r>
          </w:p>
        </w:tc>
        <w:tc>
          <w:tcPr>
            <w:tcW w:w="6911" w:type="dxa"/>
            <w:gridSpan w:val="2"/>
            <w:tcBorders>
              <w:top w:val="single" w:color="808080" w:sz="6" w:space="0"/>
              <w:left w:val="single" w:color="808080" w:sz="6" w:space="0"/>
              <w:bottom w:val="single" w:color="808080" w:sz="6" w:space="0"/>
              <w:right w:val="single" w:color="808080" w:sz="6" w:space="0"/>
            </w:tcBorders>
            <w:tcMar>
              <w:top w:w="15" w:type="dxa"/>
              <w:left w:w="15" w:type="dxa"/>
              <w:bottom w:w="15" w:type="dxa"/>
              <w:right w:w="15" w:type="dxa"/>
            </w:tcMar>
            <w:vAlign w:val="center"/>
          </w:tcPr>
          <w:p w14:paraId="2A2F6EB6">
            <w:pPr>
              <w:pBdr>
                <w:top w:val="none" w:color="000000" w:sz="0" w:space="0"/>
                <w:left w:val="none" w:color="000000" w:sz="0" w:space="0"/>
                <w:bottom w:val="none" w:color="000000" w:sz="0" w:space="0"/>
                <w:right w:val="none" w:color="000000" w:sz="0" w:space="0"/>
              </w:pBdr>
              <w:spacing w:line="480" w:lineRule="exact"/>
              <w:rPr>
                <w:rFonts w:ascii="Times New Roman" w:hAnsi="Times New Roman"/>
                <w:color w:val="auto"/>
                <w:highlight w:val="none"/>
              </w:rPr>
            </w:pPr>
            <w:r>
              <w:rPr>
                <w:rFonts w:ascii="Times New Roman" w:hAnsi="Times New Roman" w:cs="仿宋"/>
                <w:color w:val="auto"/>
                <w:sz w:val="24"/>
                <w:highlight w:val="none"/>
              </w:rPr>
              <w:t>金额大写</w:t>
            </w:r>
            <w:r>
              <w:rPr>
                <w:rFonts w:ascii="Times New Roman" w:hAnsi="Times New Roman" w:cs="Calibri"/>
                <w:color w:val="auto"/>
                <w:sz w:val="24"/>
                <w:highlight w:val="none"/>
              </w:rPr>
              <w:t> </w:t>
            </w:r>
          </w:p>
        </w:tc>
      </w:tr>
    </w:tbl>
    <w:p w14:paraId="00C7A8EC">
      <w:pPr>
        <w:pBdr>
          <w:top w:val="none" w:color="000000" w:sz="0" w:space="0"/>
          <w:left w:val="none" w:color="000000" w:sz="0" w:space="0"/>
          <w:bottom w:val="none" w:color="000000" w:sz="0" w:space="0"/>
          <w:right w:val="none" w:color="000000" w:sz="0" w:space="0"/>
        </w:pBdr>
        <w:spacing w:line="480" w:lineRule="exact"/>
        <w:rPr>
          <w:rFonts w:ascii="宋体" w:hAnsi="宋体" w:cs="仿宋"/>
          <w:color w:val="auto"/>
          <w:sz w:val="24"/>
          <w:highlight w:val="none"/>
        </w:rPr>
      </w:pPr>
      <w:r>
        <w:rPr>
          <w:rFonts w:ascii="Times New Roman" w:hAnsi="Times New Roman" w:cs="仿宋"/>
          <w:color w:val="auto"/>
          <w:sz w:val="24"/>
          <w:highlight w:val="none"/>
        </w:rPr>
        <w:t>供</w:t>
      </w:r>
      <w:r>
        <w:rPr>
          <w:rFonts w:ascii="宋体" w:hAnsi="宋体" w:cs="仿宋"/>
          <w:color w:val="auto"/>
          <w:sz w:val="24"/>
          <w:highlight w:val="none"/>
        </w:rPr>
        <w:t>应商（CA电子签章）：</w:t>
      </w:r>
    </w:p>
    <w:p w14:paraId="3F5CF428">
      <w:pPr>
        <w:pBdr>
          <w:top w:val="none" w:color="000000" w:sz="0" w:space="0"/>
          <w:left w:val="none" w:color="000000" w:sz="0" w:space="0"/>
          <w:bottom w:val="none" w:color="000000" w:sz="0" w:space="0"/>
          <w:right w:val="none" w:color="000000" w:sz="0" w:space="0"/>
        </w:pBdr>
        <w:spacing w:line="480" w:lineRule="exact"/>
        <w:rPr>
          <w:rFonts w:ascii="宋体" w:hAnsi="宋体" w:cs="Calibri"/>
          <w:color w:val="auto"/>
          <w:sz w:val="24"/>
          <w:highlight w:val="none"/>
        </w:rPr>
      </w:pPr>
      <w:r>
        <w:rPr>
          <w:rFonts w:ascii="宋体" w:hAnsi="宋体" w:cs="仿宋"/>
          <w:color w:val="auto"/>
          <w:sz w:val="24"/>
          <w:highlight w:val="none"/>
        </w:rPr>
        <w:t>供应商名称</w:t>
      </w:r>
    </w:p>
    <w:p w14:paraId="78645CEC">
      <w:pPr>
        <w:pBdr>
          <w:top w:val="none" w:color="000000" w:sz="0" w:space="0"/>
          <w:left w:val="none" w:color="000000" w:sz="0" w:space="0"/>
          <w:bottom w:val="none" w:color="000000" w:sz="0" w:space="0"/>
          <w:right w:val="none" w:color="000000" w:sz="0" w:space="0"/>
        </w:pBdr>
        <w:spacing w:line="480" w:lineRule="exact"/>
        <w:rPr>
          <w:rFonts w:ascii="宋体" w:hAnsi="宋体"/>
          <w:color w:val="auto"/>
          <w:highlight w:val="none"/>
        </w:rPr>
      </w:pPr>
      <w:r>
        <w:rPr>
          <w:rFonts w:ascii="宋体" w:hAnsi="宋体" w:cs="仿宋"/>
          <w:color w:val="auto"/>
          <w:sz w:val="24"/>
          <w:highlight w:val="none"/>
        </w:rPr>
        <w:t>日期：</w:t>
      </w:r>
      <w:r>
        <w:rPr>
          <w:rFonts w:ascii="宋体" w:hAnsi="宋体" w:cs="Calibri"/>
          <w:color w:val="auto"/>
          <w:sz w:val="24"/>
          <w:highlight w:val="none"/>
        </w:rPr>
        <w:t xml:space="preserve">   </w:t>
      </w:r>
      <w:r>
        <w:rPr>
          <w:rFonts w:ascii="宋体" w:hAnsi="宋体" w:cs="仿宋"/>
          <w:color w:val="auto"/>
          <w:sz w:val="24"/>
          <w:highlight w:val="none"/>
        </w:rPr>
        <w:t>年</w:t>
      </w:r>
      <w:r>
        <w:rPr>
          <w:rFonts w:ascii="宋体" w:hAnsi="宋体" w:cs="Calibri"/>
          <w:color w:val="auto"/>
          <w:sz w:val="24"/>
          <w:highlight w:val="none"/>
        </w:rPr>
        <w:t xml:space="preserve">   </w:t>
      </w:r>
      <w:r>
        <w:rPr>
          <w:rFonts w:ascii="宋体" w:hAnsi="宋体" w:cs="仿宋"/>
          <w:color w:val="auto"/>
          <w:sz w:val="24"/>
          <w:highlight w:val="none"/>
        </w:rPr>
        <w:t>月</w:t>
      </w:r>
      <w:r>
        <w:rPr>
          <w:rFonts w:ascii="宋体" w:hAnsi="宋体" w:cs="Calibri"/>
          <w:color w:val="auto"/>
          <w:sz w:val="24"/>
          <w:highlight w:val="none"/>
        </w:rPr>
        <w:t xml:space="preserve">   </w:t>
      </w:r>
      <w:r>
        <w:rPr>
          <w:rFonts w:ascii="宋体" w:hAnsi="宋体" w:cs="仿宋"/>
          <w:color w:val="auto"/>
          <w:sz w:val="24"/>
          <w:highlight w:val="none"/>
        </w:rPr>
        <w:t>日</w:t>
      </w:r>
    </w:p>
    <w:p w14:paraId="3D4DB542">
      <w:pPr>
        <w:spacing w:line="480" w:lineRule="exact"/>
        <w:rPr>
          <w:rFonts w:hint="eastAsia" w:ascii="宋体" w:hAnsi="宋体" w:cs="黑体"/>
          <w:b/>
          <w:color w:val="auto"/>
          <w:sz w:val="32"/>
          <w:szCs w:val="24"/>
          <w:highlight w:val="none"/>
        </w:rPr>
      </w:pPr>
    </w:p>
    <w:p w14:paraId="692F71A0">
      <w:pPr>
        <w:spacing w:line="460" w:lineRule="exact"/>
        <w:rPr>
          <w:rFonts w:hint="eastAsia" w:ascii="黑体" w:hAnsi="黑体" w:eastAsia="黑体" w:cs="黑体"/>
          <w:b/>
          <w:color w:val="auto"/>
          <w:sz w:val="32"/>
          <w:szCs w:val="24"/>
          <w:highlight w:val="none"/>
        </w:rPr>
      </w:pPr>
    </w:p>
    <w:p w14:paraId="5C27005C">
      <w:pPr>
        <w:rPr>
          <w:rFonts w:hint="eastAsia" w:ascii="黑体" w:hAnsi="黑体" w:eastAsia="黑体" w:cs="黑体"/>
          <w:b/>
          <w:color w:val="auto"/>
          <w:sz w:val="32"/>
          <w:szCs w:val="24"/>
          <w:highlight w:val="none"/>
        </w:rPr>
      </w:pPr>
      <w:r>
        <w:rPr>
          <w:rFonts w:ascii="黑体" w:hAnsi="黑体" w:eastAsia="黑体" w:cs="黑体"/>
          <w:b/>
          <w:color w:val="auto"/>
          <w:sz w:val="32"/>
          <w:szCs w:val="24"/>
          <w:highlight w:val="none"/>
        </w:rPr>
        <w:br w:type="page" w:clear="all"/>
      </w:r>
    </w:p>
    <w:p w14:paraId="5F459F37">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五、分项报价表</w:t>
      </w:r>
    </w:p>
    <w:p w14:paraId="0CF9DA00">
      <w:pPr>
        <w:pStyle w:val="593"/>
        <w:widowControl w:val="0"/>
        <w:jc w:val="center"/>
        <w:rPr>
          <w:rFonts w:ascii="方正小标宋_GBK" w:hAnsi="Calibri" w:eastAsia="方正小标宋_GBK"/>
          <w:b w:val="0"/>
          <w:bCs/>
          <w:color w:val="auto"/>
          <w:szCs w:val="32"/>
          <w:highlight w:val="none"/>
        </w:rPr>
      </w:pPr>
      <w:r>
        <w:rPr>
          <w:rFonts w:hint="eastAsia" w:ascii="方正小标宋_GBK" w:hAnsi="Calibri" w:eastAsia="方正小标宋_GBK"/>
          <w:b w:val="0"/>
          <w:bCs/>
          <w:color w:val="auto"/>
          <w:szCs w:val="32"/>
          <w:highlight w:val="none"/>
        </w:rPr>
        <w:t>分项报价表（服务类）</w:t>
      </w:r>
    </w:p>
    <w:tbl>
      <w:tblPr>
        <w:tblStyle w:val="4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407"/>
        <w:gridCol w:w="2266"/>
        <w:gridCol w:w="1134"/>
        <w:gridCol w:w="992"/>
        <w:gridCol w:w="1541"/>
        <w:gridCol w:w="991"/>
      </w:tblGrid>
      <w:tr w14:paraId="1A1F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54" w:type="dxa"/>
            <w:tcBorders>
              <w:top w:val="single" w:color="auto" w:sz="4" w:space="0"/>
              <w:left w:val="single" w:color="auto" w:sz="4" w:space="0"/>
              <w:bottom w:val="single" w:color="auto" w:sz="4" w:space="0"/>
              <w:right w:val="single" w:color="auto" w:sz="4" w:space="0"/>
            </w:tcBorders>
            <w:vAlign w:val="center"/>
          </w:tcPr>
          <w:p w14:paraId="682CDD62">
            <w:pPr>
              <w:pStyle w:val="664"/>
              <w:widowControl/>
              <w:adjustRightInd w:val="0"/>
              <w:snapToGrid w:val="0"/>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3673" w:type="dxa"/>
            <w:gridSpan w:val="2"/>
            <w:tcBorders>
              <w:top w:val="single" w:color="auto" w:sz="4" w:space="0"/>
              <w:left w:val="single" w:color="auto" w:sz="4" w:space="0"/>
              <w:bottom w:val="single" w:color="auto" w:sz="4" w:space="0"/>
              <w:right w:val="single" w:color="auto" w:sz="4" w:space="0"/>
            </w:tcBorders>
            <w:vAlign w:val="center"/>
          </w:tcPr>
          <w:p w14:paraId="1C35D8F6">
            <w:pPr>
              <w:pStyle w:val="664"/>
              <w:widowControl/>
              <w:adjustRightInd w:val="0"/>
              <w:snapToGrid w:val="0"/>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服务费用简述</w:t>
            </w:r>
          </w:p>
        </w:tc>
        <w:tc>
          <w:tcPr>
            <w:tcW w:w="1134" w:type="dxa"/>
            <w:tcBorders>
              <w:top w:val="single" w:color="auto" w:sz="4" w:space="0"/>
              <w:left w:val="single" w:color="auto" w:sz="4" w:space="0"/>
              <w:bottom w:val="single" w:color="auto" w:sz="4" w:space="0"/>
              <w:right w:val="single" w:color="auto" w:sz="4" w:space="0"/>
            </w:tcBorders>
            <w:vAlign w:val="center"/>
          </w:tcPr>
          <w:p w14:paraId="58D11F78">
            <w:pPr>
              <w:pStyle w:val="664"/>
              <w:widowControl/>
              <w:adjustRightInd w:val="0"/>
              <w:snapToGrid w:val="0"/>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单价</w:t>
            </w:r>
          </w:p>
          <w:p w14:paraId="69B13115">
            <w:pPr>
              <w:pStyle w:val="664"/>
              <w:widowControl/>
              <w:adjustRightInd w:val="0"/>
              <w:snapToGrid w:val="0"/>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（元）</w:t>
            </w:r>
          </w:p>
        </w:tc>
        <w:tc>
          <w:tcPr>
            <w:tcW w:w="992" w:type="dxa"/>
            <w:tcBorders>
              <w:top w:val="single" w:color="auto" w:sz="4" w:space="0"/>
              <w:left w:val="single" w:color="auto" w:sz="4" w:space="0"/>
              <w:bottom w:val="single" w:color="auto" w:sz="4" w:space="0"/>
              <w:right w:val="single" w:color="auto" w:sz="4" w:space="0"/>
            </w:tcBorders>
            <w:vAlign w:val="center"/>
          </w:tcPr>
          <w:p w14:paraId="4DB4E173">
            <w:pPr>
              <w:pStyle w:val="664"/>
              <w:widowControl/>
              <w:adjustRightInd w:val="0"/>
              <w:snapToGrid w:val="0"/>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数量</w:t>
            </w:r>
          </w:p>
        </w:tc>
        <w:tc>
          <w:tcPr>
            <w:tcW w:w="1541" w:type="dxa"/>
            <w:tcBorders>
              <w:top w:val="single" w:color="auto" w:sz="4" w:space="0"/>
              <w:left w:val="single" w:color="auto" w:sz="4" w:space="0"/>
              <w:bottom w:val="single" w:color="auto" w:sz="4" w:space="0"/>
              <w:right w:val="single" w:color="auto" w:sz="4" w:space="0"/>
            </w:tcBorders>
            <w:vAlign w:val="center"/>
          </w:tcPr>
          <w:p w14:paraId="2F39C50E">
            <w:pPr>
              <w:pStyle w:val="664"/>
              <w:widowControl/>
              <w:adjustRightInd w:val="0"/>
              <w:snapToGrid w:val="0"/>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合价</w:t>
            </w:r>
          </w:p>
          <w:p w14:paraId="5649807A">
            <w:pPr>
              <w:pStyle w:val="664"/>
              <w:widowControl/>
              <w:adjustRightInd w:val="0"/>
              <w:snapToGrid w:val="0"/>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（元）</w:t>
            </w:r>
          </w:p>
        </w:tc>
        <w:tc>
          <w:tcPr>
            <w:tcW w:w="991" w:type="dxa"/>
            <w:tcBorders>
              <w:top w:val="single" w:color="auto" w:sz="4" w:space="0"/>
              <w:left w:val="single" w:color="auto" w:sz="4" w:space="0"/>
              <w:bottom w:val="single" w:color="auto" w:sz="4" w:space="0"/>
              <w:right w:val="single" w:color="auto" w:sz="4" w:space="0"/>
            </w:tcBorders>
            <w:vAlign w:val="center"/>
          </w:tcPr>
          <w:p w14:paraId="5CD2B2B8">
            <w:pPr>
              <w:pStyle w:val="664"/>
              <w:widowControl/>
              <w:adjustRightInd w:val="0"/>
              <w:snapToGrid w:val="0"/>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备注</w:t>
            </w:r>
          </w:p>
        </w:tc>
      </w:tr>
      <w:tr w14:paraId="66C8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4" w:type="dxa"/>
            <w:tcBorders>
              <w:top w:val="single" w:color="auto" w:sz="4" w:space="0"/>
              <w:left w:val="single" w:color="auto" w:sz="4" w:space="0"/>
              <w:bottom w:val="single" w:color="auto" w:sz="4" w:space="0"/>
              <w:right w:val="single" w:color="auto" w:sz="4" w:space="0"/>
            </w:tcBorders>
          </w:tcPr>
          <w:p w14:paraId="354E8DE7">
            <w:pPr>
              <w:pStyle w:val="664"/>
              <w:widowControl/>
              <w:spacing w:line="560" w:lineRule="exac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3673" w:type="dxa"/>
            <w:gridSpan w:val="2"/>
            <w:tcBorders>
              <w:top w:val="single" w:color="auto" w:sz="4" w:space="0"/>
              <w:left w:val="single" w:color="auto" w:sz="4" w:space="0"/>
              <w:bottom w:val="single" w:color="auto" w:sz="4" w:space="0"/>
              <w:right w:val="single" w:color="auto" w:sz="4" w:space="0"/>
            </w:tcBorders>
          </w:tcPr>
          <w:p w14:paraId="21A6AB37">
            <w:pPr>
              <w:pStyle w:val="664"/>
              <w:widowControl/>
              <w:spacing w:line="560" w:lineRule="exact"/>
              <w:jc w:val="center"/>
              <w:rPr>
                <w:rFonts w:hint="eastAsia"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031DB9">
            <w:pPr>
              <w:pStyle w:val="664"/>
              <w:spacing w:line="560" w:lineRule="exact"/>
              <w:jc w:val="center"/>
              <w:rPr>
                <w:rFonts w:hint="eastAsia" w:ascii="宋体"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1C97F34A">
            <w:pPr>
              <w:pStyle w:val="664"/>
              <w:widowControl/>
              <w:spacing w:line="560" w:lineRule="exact"/>
              <w:jc w:val="center"/>
              <w:rPr>
                <w:rFonts w:hint="eastAsia" w:ascii="宋体" w:hAnsi="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0C5D1063">
            <w:pPr>
              <w:pStyle w:val="664"/>
              <w:spacing w:line="560" w:lineRule="exact"/>
              <w:jc w:val="center"/>
              <w:rPr>
                <w:rFonts w:hint="eastAsia" w:ascii="宋体" w:hAnsi="宋体"/>
                <w:color w:val="auto"/>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694A69C6">
            <w:pPr>
              <w:pStyle w:val="664"/>
              <w:spacing w:line="560" w:lineRule="exact"/>
              <w:jc w:val="center"/>
              <w:rPr>
                <w:rFonts w:hint="eastAsia" w:ascii="宋体" w:hAnsi="宋体"/>
                <w:color w:val="auto"/>
                <w:sz w:val="24"/>
                <w:szCs w:val="24"/>
                <w:highlight w:val="none"/>
              </w:rPr>
            </w:pPr>
          </w:p>
        </w:tc>
      </w:tr>
      <w:tr w14:paraId="67A9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654" w:type="dxa"/>
            <w:tcBorders>
              <w:top w:val="single" w:color="auto" w:sz="4" w:space="0"/>
              <w:left w:val="single" w:color="auto" w:sz="4" w:space="0"/>
              <w:bottom w:val="single" w:color="auto" w:sz="4" w:space="0"/>
              <w:right w:val="single" w:color="auto" w:sz="4" w:space="0"/>
            </w:tcBorders>
          </w:tcPr>
          <w:p w14:paraId="3D825FC3">
            <w:pPr>
              <w:pStyle w:val="664"/>
              <w:widowControl/>
              <w:spacing w:line="560" w:lineRule="exac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3673" w:type="dxa"/>
            <w:gridSpan w:val="2"/>
            <w:tcBorders>
              <w:top w:val="single" w:color="auto" w:sz="4" w:space="0"/>
              <w:left w:val="single" w:color="auto" w:sz="4" w:space="0"/>
              <w:bottom w:val="single" w:color="auto" w:sz="4" w:space="0"/>
              <w:right w:val="single" w:color="auto" w:sz="4" w:space="0"/>
            </w:tcBorders>
          </w:tcPr>
          <w:p w14:paraId="4DA08F02">
            <w:pPr>
              <w:pStyle w:val="664"/>
              <w:widowControl/>
              <w:spacing w:line="560" w:lineRule="exact"/>
              <w:jc w:val="center"/>
              <w:rPr>
                <w:rFonts w:hint="eastAsia"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39B3165">
            <w:pPr>
              <w:pStyle w:val="664"/>
              <w:spacing w:line="560" w:lineRule="exact"/>
              <w:jc w:val="center"/>
              <w:rPr>
                <w:rFonts w:hint="eastAsia" w:ascii="宋体"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13C2B83A">
            <w:pPr>
              <w:pStyle w:val="664"/>
              <w:widowControl/>
              <w:spacing w:line="560" w:lineRule="exact"/>
              <w:jc w:val="center"/>
              <w:rPr>
                <w:rFonts w:hint="eastAsia" w:ascii="宋体" w:hAnsi="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302235F4">
            <w:pPr>
              <w:pStyle w:val="664"/>
              <w:spacing w:line="560" w:lineRule="exact"/>
              <w:jc w:val="center"/>
              <w:rPr>
                <w:rFonts w:hint="eastAsia" w:ascii="宋体" w:hAnsi="宋体"/>
                <w:color w:val="auto"/>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2B7CA3EA">
            <w:pPr>
              <w:pStyle w:val="664"/>
              <w:spacing w:line="560" w:lineRule="exact"/>
              <w:jc w:val="center"/>
              <w:rPr>
                <w:rFonts w:hint="eastAsia" w:ascii="宋体" w:hAnsi="宋体"/>
                <w:color w:val="auto"/>
                <w:sz w:val="24"/>
                <w:szCs w:val="24"/>
                <w:highlight w:val="none"/>
              </w:rPr>
            </w:pPr>
          </w:p>
        </w:tc>
      </w:tr>
      <w:tr w14:paraId="5E3E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4" w:type="dxa"/>
            <w:tcBorders>
              <w:top w:val="single" w:color="auto" w:sz="4" w:space="0"/>
              <w:left w:val="single" w:color="auto" w:sz="4" w:space="0"/>
              <w:bottom w:val="single" w:color="auto" w:sz="4" w:space="0"/>
              <w:right w:val="single" w:color="auto" w:sz="4" w:space="0"/>
            </w:tcBorders>
          </w:tcPr>
          <w:p w14:paraId="5B4E387D">
            <w:pPr>
              <w:pStyle w:val="664"/>
              <w:widowControl/>
              <w:spacing w:line="560" w:lineRule="exac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3673" w:type="dxa"/>
            <w:gridSpan w:val="2"/>
            <w:tcBorders>
              <w:top w:val="single" w:color="auto" w:sz="4" w:space="0"/>
              <w:left w:val="single" w:color="auto" w:sz="4" w:space="0"/>
              <w:bottom w:val="single" w:color="auto" w:sz="4" w:space="0"/>
              <w:right w:val="single" w:color="auto" w:sz="4" w:space="0"/>
            </w:tcBorders>
          </w:tcPr>
          <w:p w14:paraId="62DA0885">
            <w:pPr>
              <w:pStyle w:val="664"/>
              <w:widowControl/>
              <w:spacing w:line="560" w:lineRule="exact"/>
              <w:jc w:val="center"/>
              <w:rPr>
                <w:rFonts w:hint="eastAsia"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85D2D8">
            <w:pPr>
              <w:pStyle w:val="664"/>
              <w:spacing w:line="560" w:lineRule="exact"/>
              <w:jc w:val="center"/>
              <w:rPr>
                <w:rFonts w:hint="eastAsia" w:ascii="宋体"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65F6A453">
            <w:pPr>
              <w:pStyle w:val="664"/>
              <w:widowControl/>
              <w:spacing w:line="560" w:lineRule="exact"/>
              <w:jc w:val="center"/>
              <w:rPr>
                <w:rFonts w:hint="eastAsia" w:ascii="宋体" w:hAnsi="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420AE7A8">
            <w:pPr>
              <w:pStyle w:val="664"/>
              <w:spacing w:line="560" w:lineRule="exact"/>
              <w:jc w:val="center"/>
              <w:rPr>
                <w:rFonts w:hint="eastAsia" w:ascii="宋体" w:hAnsi="宋体"/>
                <w:color w:val="auto"/>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3765FA43">
            <w:pPr>
              <w:pStyle w:val="664"/>
              <w:spacing w:line="560" w:lineRule="exact"/>
              <w:jc w:val="center"/>
              <w:rPr>
                <w:rFonts w:hint="eastAsia" w:ascii="宋体" w:hAnsi="宋体"/>
                <w:color w:val="auto"/>
                <w:sz w:val="24"/>
                <w:szCs w:val="24"/>
                <w:highlight w:val="none"/>
              </w:rPr>
            </w:pPr>
          </w:p>
        </w:tc>
      </w:tr>
      <w:tr w14:paraId="0967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4" w:type="dxa"/>
            <w:tcBorders>
              <w:top w:val="single" w:color="auto" w:sz="4" w:space="0"/>
              <w:left w:val="single" w:color="auto" w:sz="4" w:space="0"/>
              <w:bottom w:val="single" w:color="auto" w:sz="4" w:space="0"/>
              <w:right w:val="single" w:color="auto" w:sz="4" w:space="0"/>
            </w:tcBorders>
          </w:tcPr>
          <w:p w14:paraId="27A06BB8">
            <w:pPr>
              <w:pStyle w:val="664"/>
              <w:widowControl/>
              <w:spacing w:line="560" w:lineRule="exac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3673" w:type="dxa"/>
            <w:gridSpan w:val="2"/>
            <w:tcBorders>
              <w:top w:val="single" w:color="auto" w:sz="4" w:space="0"/>
              <w:left w:val="single" w:color="auto" w:sz="4" w:space="0"/>
              <w:bottom w:val="single" w:color="auto" w:sz="4" w:space="0"/>
              <w:right w:val="single" w:color="auto" w:sz="4" w:space="0"/>
            </w:tcBorders>
          </w:tcPr>
          <w:p w14:paraId="505143AA">
            <w:pPr>
              <w:pStyle w:val="664"/>
              <w:widowControl/>
              <w:spacing w:line="560" w:lineRule="exact"/>
              <w:jc w:val="center"/>
              <w:rPr>
                <w:rFonts w:hint="eastAsia"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89DB815">
            <w:pPr>
              <w:pStyle w:val="664"/>
              <w:spacing w:line="560" w:lineRule="exact"/>
              <w:jc w:val="center"/>
              <w:rPr>
                <w:rFonts w:hint="eastAsia" w:ascii="宋体"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35ABE9FA">
            <w:pPr>
              <w:pStyle w:val="664"/>
              <w:widowControl/>
              <w:spacing w:line="560" w:lineRule="exact"/>
              <w:jc w:val="center"/>
              <w:rPr>
                <w:rFonts w:hint="eastAsia" w:ascii="宋体" w:hAnsi="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1F3BE853">
            <w:pPr>
              <w:pStyle w:val="664"/>
              <w:spacing w:line="560" w:lineRule="exact"/>
              <w:jc w:val="center"/>
              <w:rPr>
                <w:rFonts w:hint="eastAsia" w:ascii="宋体" w:hAnsi="宋体"/>
                <w:color w:val="auto"/>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584C7D16">
            <w:pPr>
              <w:pStyle w:val="664"/>
              <w:spacing w:line="560" w:lineRule="exact"/>
              <w:jc w:val="center"/>
              <w:rPr>
                <w:rFonts w:hint="eastAsia" w:ascii="宋体" w:hAnsi="宋体"/>
                <w:color w:val="auto"/>
                <w:sz w:val="24"/>
                <w:szCs w:val="24"/>
                <w:highlight w:val="none"/>
              </w:rPr>
            </w:pPr>
          </w:p>
        </w:tc>
      </w:tr>
      <w:tr w14:paraId="0770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4" w:type="dxa"/>
            <w:tcBorders>
              <w:top w:val="single" w:color="auto" w:sz="4" w:space="0"/>
              <w:left w:val="single" w:color="auto" w:sz="4" w:space="0"/>
              <w:bottom w:val="single" w:color="auto" w:sz="4" w:space="0"/>
              <w:right w:val="single" w:color="auto" w:sz="4" w:space="0"/>
            </w:tcBorders>
          </w:tcPr>
          <w:p w14:paraId="65804BCE">
            <w:pPr>
              <w:pStyle w:val="664"/>
              <w:widowControl/>
              <w:spacing w:line="560" w:lineRule="exact"/>
              <w:jc w:val="center"/>
              <w:rPr>
                <w:rFonts w:hint="eastAsia" w:ascii="宋体" w:hAnsi="宋体"/>
                <w:color w:val="auto"/>
                <w:sz w:val="24"/>
                <w:szCs w:val="24"/>
                <w:highlight w:val="none"/>
              </w:rPr>
            </w:pPr>
            <w:r>
              <w:rPr>
                <w:rFonts w:hint="eastAsia" w:ascii="宋体" w:hAnsi="宋体"/>
                <w:color w:val="auto"/>
                <w:sz w:val="24"/>
                <w:szCs w:val="24"/>
                <w:highlight w:val="none"/>
              </w:rPr>
              <w:t>5</w:t>
            </w:r>
          </w:p>
        </w:tc>
        <w:tc>
          <w:tcPr>
            <w:tcW w:w="3673" w:type="dxa"/>
            <w:gridSpan w:val="2"/>
            <w:tcBorders>
              <w:top w:val="single" w:color="auto" w:sz="4" w:space="0"/>
              <w:left w:val="single" w:color="auto" w:sz="4" w:space="0"/>
              <w:bottom w:val="single" w:color="auto" w:sz="4" w:space="0"/>
              <w:right w:val="single" w:color="auto" w:sz="4" w:space="0"/>
            </w:tcBorders>
          </w:tcPr>
          <w:p w14:paraId="05E91CFE">
            <w:pPr>
              <w:pStyle w:val="664"/>
              <w:widowControl/>
              <w:spacing w:line="560" w:lineRule="exact"/>
              <w:jc w:val="center"/>
              <w:rPr>
                <w:rFonts w:hint="eastAsia"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B09F91D">
            <w:pPr>
              <w:pStyle w:val="664"/>
              <w:spacing w:line="560" w:lineRule="exact"/>
              <w:jc w:val="center"/>
              <w:rPr>
                <w:rFonts w:hint="eastAsia" w:ascii="宋体"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28A6BA42">
            <w:pPr>
              <w:pStyle w:val="664"/>
              <w:widowControl/>
              <w:spacing w:line="560" w:lineRule="exact"/>
              <w:jc w:val="center"/>
              <w:rPr>
                <w:rFonts w:hint="eastAsia" w:ascii="宋体" w:hAnsi="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1F443EF6">
            <w:pPr>
              <w:pStyle w:val="664"/>
              <w:spacing w:line="560" w:lineRule="exact"/>
              <w:jc w:val="center"/>
              <w:rPr>
                <w:rFonts w:hint="eastAsia" w:ascii="宋体" w:hAnsi="宋体"/>
                <w:color w:val="auto"/>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183013B3">
            <w:pPr>
              <w:pStyle w:val="664"/>
              <w:spacing w:line="560" w:lineRule="exact"/>
              <w:jc w:val="center"/>
              <w:rPr>
                <w:rFonts w:hint="eastAsia" w:ascii="宋体" w:hAnsi="宋体"/>
                <w:color w:val="auto"/>
                <w:sz w:val="24"/>
                <w:szCs w:val="24"/>
                <w:highlight w:val="none"/>
              </w:rPr>
            </w:pPr>
          </w:p>
        </w:tc>
      </w:tr>
      <w:tr w14:paraId="29AA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54" w:type="dxa"/>
            <w:tcBorders>
              <w:top w:val="single" w:color="auto" w:sz="4" w:space="0"/>
              <w:left w:val="single" w:color="auto" w:sz="4" w:space="0"/>
              <w:bottom w:val="single" w:color="auto" w:sz="4" w:space="0"/>
              <w:right w:val="single" w:color="auto" w:sz="4" w:space="0"/>
            </w:tcBorders>
          </w:tcPr>
          <w:p w14:paraId="000E9510">
            <w:pPr>
              <w:pStyle w:val="664"/>
              <w:widowControl/>
              <w:spacing w:line="560" w:lineRule="exact"/>
              <w:rPr>
                <w:rFonts w:hint="eastAsia" w:ascii="宋体" w:hAnsi="宋体"/>
                <w:color w:val="auto"/>
                <w:sz w:val="24"/>
                <w:szCs w:val="24"/>
                <w:highlight w:val="none"/>
              </w:rPr>
            </w:pPr>
            <w:r>
              <w:rPr>
                <w:rFonts w:ascii="宋体" w:hAnsi="宋体"/>
                <w:color w:val="auto"/>
                <w:sz w:val="24"/>
                <w:szCs w:val="24"/>
                <w:highlight w:val="none"/>
              </w:rPr>
              <w:t>…</w:t>
            </w:r>
          </w:p>
        </w:tc>
        <w:tc>
          <w:tcPr>
            <w:tcW w:w="3673" w:type="dxa"/>
            <w:gridSpan w:val="2"/>
            <w:tcBorders>
              <w:top w:val="single" w:color="auto" w:sz="4" w:space="0"/>
              <w:left w:val="single" w:color="auto" w:sz="4" w:space="0"/>
              <w:bottom w:val="single" w:color="auto" w:sz="4" w:space="0"/>
              <w:right w:val="single" w:color="auto" w:sz="4" w:space="0"/>
            </w:tcBorders>
          </w:tcPr>
          <w:p w14:paraId="4A79454D">
            <w:pPr>
              <w:pStyle w:val="664"/>
              <w:widowControl/>
              <w:spacing w:line="560" w:lineRule="exact"/>
              <w:jc w:val="center"/>
              <w:rPr>
                <w:rFonts w:hint="eastAsia"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64878C">
            <w:pPr>
              <w:pStyle w:val="664"/>
              <w:spacing w:line="560" w:lineRule="exact"/>
              <w:jc w:val="center"/>
              <w:rPr>
                <w:rFonts w:hint="eastAsia" w:ascii="宋体"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10B0CE8B">
            <w:pPr>
              <w:pStyle w:val="664"/>
              <w:widowControl/>
              <w:spacing w:line="560" w:lineRule="exact"/>
              <w:jc w:val="center"/>
              <w:rPr>
                <w:rFonts w:hint="eastAsia" w:ascii="宋体" w:hAnsi="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69F06550">
            <w:pPr>
              <w:pStyle w:val="664"/>
              <w:spacing w:line="560" w:lineRule="exact"/>
              <w:jc w:val="center"/>
              <w:rPr>
                <w:rFonts w:hint="eastAsia" w:ascii="宋体" w:hAnsi="宋体"/>
                <w:color w:val="auto"/>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466B9E74">
            <w:pPr>
              <w:pStyle w:val="664"/>
              <w:spacing w:line="560" w:lineRule="exact"/>
              <w:jc w:val="center"/>
              <w:rPr>
                <w:rFonts w:hint="eastAsia" w:ascii="宋体" w:hAnsi="宋体"/>
                <w:color w:val="auto"/>
                <w:sz w:val="24"/>
                <w:szCs w:val="24"/>
                <w:highlight w:val="none"/>
              </w:rPr>
            </w:pPr>
          </w:p>
        </w:tc>
      </w:tr>
      <w:tr w14:paraId="2CF5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trPr>
        <w:tc>
          <w:tcPr>
            <w:tcW w:w="2061" w:type="dxa"/>
            <w:gridSpan w:val="2"/>
            <w:tcBorders>
              <w:top w:val="single" w:color="auto" w:sz="4" w:space="0"/>
              <w:left w:val="single" w:color="auto" w:sz="4" w:space="0"/>
              <w:bottom w:val="single" w:color="auto" w:sz="4" w:space="0"/>
              <w:right w:val="single" w:color="auto" w:sz="4" w:space="0"/>
            </w:tcBorders>
            <w:vAlign w:val="center"/>
          </w:tcPr>
          <w:p w14:paraId="14BB4D56">
            <w:pPr>
              <w:pStyle w:val="664"/>
              <w:spacing w:line="500" w:lineRule="exact"/>
              <w:jc w:val="center"/>
              <w:rPr>
                <w:rFonts w:hint="eastAsia" w:ascii="宋体" w:hAnsi="宋体"/>
                <w:b/>
                <w:bCs/>
                <w:color w:val="auto"/>
                <w:sz w:val="24"/>
                <w:szCs w:val="24"/>
                <w:highlight w:val="none"/>
              </w:rPr>
            </w:pPr>
            <w:r>
              <w:rPr>
                <w:rFonts w:hint="eastAsia" w:ascii="宋体" w:hAnsi="宋体"/>
                <w:b/>
                <w:bCs/>
                <w:color w:val="auto"/>
                <w:sz w:val="24"/>
                <w:szCs w:val="24"/>
                <w:highlight w:val="none"/>
              </w:rPr>
              <w:t>磋商总报价</w:t>
            </w:r>
          </w:p>
        </w:tc>
        <w:tc>
          <w:tcPr>
            <w:tcW w:w="6924" w:type="dxa"/>
            <w:gridSpan w:val="5"/>
            <w:tcBorders>
              <w:top w:val="single" w:color="auto" w:sz="4" w:space="0"/>
              <w:left w:val="single" w:color="auto" w:sz="4" w:space="0"/>
              <w:bottom w:val="single" w:color="auto" w:sz="4" w:space="0"/>
              <w:right w:val="single" w:color="auto" w:sz="4" w:space="0"/>
            </w:tcBorders>
            <w:vAlign w:val="center"/>
          </w:tcPr>
          <w:p w14:paraId="7092A824">
            <w:pPr>
              <w:pStyle w:val="664"/>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45496D5B">
            <w:pPr>
              <w:pStyle w:val="664"/>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人民币（大写）：</w:t>
            </w:r>
            <w:r>
              <w:rPr>
                <w:rFonts w:hint="eastAsia" w:ascii="宋体" w:hAnsi="宋体"/>
                <w:b/>
                <w:bCs/>
                <w:color w:val="auto"/>
                <w:sz w:val="24"/>
                <w:szCs w:val="24"/>
                <w:highlight w:val="none"/>
                <w:u w:val="single"/>
              </w:rPr>
              <w:t xml:space="preserve"> </w:t>
            </w:r>
            <w:r>
              <w:rPr>
                <w:rFonts w:ascii="宋体" w:hAnsi="宋体"/>
                <w:b/>
                <w:bCs/>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仟     </w:t>
            </w:r>
            <w:r>
              <w:rPr>
                <w:rFonts w:hint="eastAsia" w:ascii="宋体" w:hAnsi="宋体"/>
                <w:bCs/>
                <w:color w:val="auto"/>
                <w:sz w:val="24"/>
                <w:szCs w:val="24"/>
                <w:highlight w:val="none"/>
              </w:rPr>
              <w:t>佰</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拾</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万</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仟</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佰</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拾</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元</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角</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分</w:t>
            </w:r>
          </w:p>
        </w:tc>
      </w:tr>
    </w:tbl>
    <w:p w14:paraId="4FDF55D9">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备注：“磋商总价”数额应当与“磋商报价表”中“磋商总价”数额一致。</w:t>
      </w:r>
    </w:p>
    <w:p w14:paraId="508287D8">
      <w:pPr>
        <w:spacing w:line="480" w:lineRule="exact"/>
        <w:rPr>
          <w:rFonts w:ascii="宋体" w:hAnsi="宋体"/>
          <w:color w:val="auto"/>
          <w:sz w:val="24"/>
          <w:szCs w:val="24"/>
          <w:highlight w:val="none"/>
        </w:rPr>
      </w:pPr>
    </w:p>
    <w:p w14:paraId="00C5DF4D">
      <w:pPr>
        <w:spacing w:line="0" w:lineRule="atLeast"/>
        <w:rPr>
          <w:rFonts w:ascii="宋体" w:hAnsi="宋体"/>
          <w:color w:val="auto"/>
          <w:sz w:val="24"/>
          <w:szCs w:val="24"/>
          <w:highlight w:val="none"/>
        </w:rPr>
      </w:pPr>
    </w:p>
    <w:p w14:paraId="1FF8F66F">
      <w:pPr>
        <w:spacing w:line="0" w:lineRule="atLeast"/>
        <w:rPr>
          <w:rFonts w:ascii="宋体" w:hAnsi="宋体"/>
          <w:color w:val="auto"/>
          <w:sz w:val="24"/>
          <w:szCs w:val="24"/>
          <w:highlight w:val="none"/>
        </w:rPr>
      </w:pPr>
    </w:p>
    <w:p w14:paraId="427CE627">
      <w:pPr>
        <w:spacing w:line="0" w:lineRule="atLeast"/>
        <w:rPr>
          <w:rFonts w:ascii="宋体" w:hAnsi="宋体"/>
          <w:color w:val="auto"/>
          <w:sz w:val="24"/>
          <w:szCs w:val="24"/>
          <w:highlight w:val="none"/>
        </w:rPr>
      </w:pPr>
    </w:p>
    <w:p w14:paraId="7B1C1A72">
      <w:pPr>
        <w:spacing w:line="0" w:lineRule="atLeast"/>
        <w:rPr>
          <w:rFonts w:ascii="宋体" w:hAnsi="宋体"/>
          <w:color w:val="auto"/>
          <w:sz w:val="24"/>
          <w:szCs w:val="24"/>
          <w:highlight w:val="none"/>
        </w:rPr>
      </w:pPr>
    </w:p>
    <w:p w14:paraId="371FB06D">
      <w:pPr>
        <w:spacing w:line="0" w:lineRule="atLeast"/>
        <w:rPr>
          <w:rFonts w:ascii="宋体" w:hAnsi="宋体"/>
          <w:color w:val="auto"/>
          <w:sz w:val="24"/>
          <w:szCs w:val="24"/>
          <w:highlight w:val="none"/>
        </w:rPr>
      </w:pPr>
    </w:p>
    <w:p w14:paraId="46520DF2">
      <w:pPr>
        <w:spacing w:line="0" w:lineRule="atLeast"/>
        <w:rPr>
          <w:rFonts w:ascii="宋体" w:hAnsi="宋体"/>
          <w:color w:val="auto"/>
          <w:sz w:val="24"/>
          <w:szCs w:val="24"/>
          <w:highlight w:val="none"/>
        </w:rPr>
      </w:pPr>
    </w:p>
    <w:p w14:paraId="418B7059">
      <w:pPr>
        <w:spacing w:line="0" w:lineRule="atLeast"/>
        <w:rPr>
          <w:rFonts w:ascii="宋体" w:hAnsi="宋体"/>
          <w:color w:val="auto"/>
          <w:sz w:val="24"/>
          <w:szCs w:val="24"/>
          <w:highlight w:val="none"/>
        </w:rPr>
      </w:pPr>
    </w:p>
    <w:p w14:paraId="4F466521">
      <w:pPr>
        <w:spacing w:line="0" w:lineRule="atLeast"/>
        <w:rPr>
          <w:rFonts w:ascii="宋体" w:hAnsi="宋体"/>
          <w:color w:val="auto"/>
          <w:sz w:val="24"/>
          <w:szCs w:val="24"/>
          <w:highlight w:val="none"/>
        </w:rPr>
      </w:pPr>
    </w:p>
    <w:p w14:paraId="27EBF38F">
      <w:pPr>
        <w:spacing w:line="0" w:lineRule="atLeast"/>
        <w:rPr>
          <w:rFonts w:ascii="宋体" w:hAnsi="宋体"/>
          <w:color w:val="auto"/>
          <w:sz w:val="24"/>
          <w:szCs w:val="24"/>
          <w:highlight w:val="none"/>
        </w:rPr>
      </w:pPr>
    </w:p>
    <w:p w14:paraId="617BF376">
      <w:pPr>
        <w:spacing w:line="0" w:lineRule="atLeast"/>
        <w:rPr>
          <w:rFonts w:ascii="宋体" w:hAnsi="宋体"/>
          <w:color w:val="auto"/>
          <w:sz w:val="24"/>
          <w:szCs w:val="24"/>
          <w:highlight w:val="none"/>
        </w:rPr>
      </w:pPr>
    </w:p>
    <w:p w14:paraId="544A5C2D">
      <w:pPr>
        <w:spacing w:line="0" w:lineRule="atLeast"/>
        <w:rPr>
          <w:rFonts w:ascii="宋体" w:hAnsi="宋体"/>
          <w:color w:val="auto"/>
          <w:sz w:val="24"/>
          <w:szCs w:val="24"/>
          <w:highlight w:val="none"/>
        </w:rPr>
      </w:pPr>
    </w:p>
    <w:p w14:paraId="15F30A5E">
      <w:pPr>
        <w:spacing w:line="0" w:lineRule="atLeast"/>
        <w:rPr>
          <w:rFonts w:ascii="宋体" w:hAnsi="宋体"/>
          <w:color w:val="auto"/>
          <w:sz w:val="24"/>
          <w:szCs w:val="24"/>
          <w:highlight w:val="none"/>
        </w:rPr>
      </w:pPr>
    </w:p>
    <w:p w14:paraId="0CE236B3">
      <w:pPr>
        <w:spacing w:line="0" w:lineRule="atLeast"/>
        <w:rPr>
          <w:rFonts w:ascii="宋体" w:hAnsi="宋体"/>
          <w:color w:val="auto"/>
          <w:sz w:val="24"/>
          <w:szCs w:val="24"/>
          <w:highlight w:val="none"/>
        </w:rPr>
      </w:pPr>
    </w:p>
    <w:p w14:paraId="3F1C8312">
      <w:pPr>
        <w:spacing w:line="0" w:lineRule="atLeast"/>
        <w:rPr>
          <w:rFonts w:ascii="宋体" w:hAnsi="宋体"/>
          <w:color w:val="auto"/>
          <w:sz w:val="24"/>
          <w:szCs w:val="24"/>
          <w:highlight w:val="none"/>
        </w:rPr>
      </w:pPr>
    </w:p>
    <w:p w14:paraId="16160CBD">
      <w:pPr>
        <w:spacing w:line="0" w:lineRule="atLeast"/>
        <w:rPr>
          <w:rFonts w:hint="eastAsia" w:ascii="宋体" w:hAnsi="宋体"/>
          <w:color w:val="auto"/>
          <w:sz w:val="24"/>
          <w:szCs w:val="24"/>
          <w:highlight w:val="none"/>
        </w:rPr>
      </w:pPr>
    </w:p>
    <w:p w14:paraId="5C49C953">
      <w:pPr>
        <w:spacing w:line="0" w:lineRule="atLeast"/>
        <w:rPr>
          <w:rFonts w:ascii="宋体" w:hAnsi="宋体"/>
          <w:color w:val="auto"/>
          <w:sz w:val="24"/>
          <w:szCs w:val="24"/>
          <w:highlight w:val="none"/>
        </w:rPr>
      </w:pPr>
    </w:p>
    <w:p w14:paraId="19F6BEAC">
      <w:pPr>
        <w:spacing w:line="0" w:lineRule="atLeast"/>
        <w:rPr>
          <w:rFonts w:hint="eastAsia" w:ascii="宋体" w:hAnsi="宋体"/>
          <w:color w:val="auto"/>
          <w:sz w:val="24"/>
          <w:szCs w:val="24"/>
          <w:highlight w:val="none"/>
        </w:rPr>
      </w:pPr>
    </w:p>
    <w:p w14:paraId="45ED4391">
      <w:pPr>
        <w:pStyle w:val="593"/>
        <w:widowControl w:val="0"/>
        <w:jc w:val="center"/>
        <w:rPr>
          <w:bCs/>
          <w:color w:val="auto"/>
          <w:highlight w:val="none"/>
        </w:rPr>
      </w:pPr>
      <w:r>
        <w:rPr>
          <w:rFonts w:hint="eastAsia"/>
          <w:bCs/>
          <w:color w:val="auto"/>
          <w:highlight w:val="none"/>
        </w:rPr>
        <w:br w:type="page"/>
      </w:r>
      <w:r>
        <w:rPr>
          <w:rFonts w:hint="eastAsia" w:ascii="方正小标宋_GBK" w:hAnsi="Calibri" w:eastAsia="方正小标宋_GBK"/>
          <w:b w:val="0"/>
          <w:bCs/>
          <w:color w:val="auto"/>
          <w:szCs w:val="32"/>
          <w:highlight w:val="none"/>
        </w:rPr>
        <w:t>分项报价表（货物类）</w:t>
      </w:r>
    </w:p>
    <w:tbl>
      <w:tblPr>
        <w:tblStyle w:val="41"/>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52"/>
        <w:gridCol w:w="814"/>
        <w:gridCol w:w="1072"/>
        <w:gridCol w:w="1617"/>
        <w:gridCol w:w="1233"/>
        <w:gridCol w:w="921"/>
        <w:gridCol w:w="932"/>
        <w:gridCol w:w="1136"/>
      </w:tblGrid>
      <w:tr w14:paraId="41FB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500" w:type="dxa"/>
          </w:tcPr>
          <w:p w14:paraId="3A45F46F">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052" w:type="dxa"/>
            <w:vAlign w:val="center"/>
          </w:tcPr>
          <w:p w14:paraId="28BF093D">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产品</w:t>
            </w:r>
          </w:p>
          <w:p w14:paraId="43D22481">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名称</w:t>
            </w:r>
          </w:p>
        </w:tc>
        <w:tc>
          <w:tcPr>
            <w:tcW w:w="814" w:type="dxa"/>
            <w:vAlign w:val="center"/>
          </w:tcPr>
          <w:p w14:paraId="6FCF3D4E">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品牌</w:t>
            </w:r>
          </w:p>
        </w:tc>
        <w:tc>
          <w:tcPr>
            <w:tcW w:w="1072" w:type="dxa"/>
            <w:vAlign w:val="center"/>
          </w:tcPr>
          <w:p w14:paraId="7C6FCE5F">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规格</w:t>
            </w:r>
          </w:p>
          <w:p w14:paraId="684D0839">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型号</w:t>
            </w:r>
          </w:p>
        </w:tc>
        <w:tc>
          <w:tcPr>
            <w:tcW w:w="1617" w:type="dxa"/>
            <w:vAlign w:val="center"/>
          </w:tcPr>
          <w:p w14:paraId="6E415A55">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制造商名称</w:t>
            </w:r>
          </w:p>
        </w:tc>
        <w:tc>
          <w:tcPr>
            <w:tcW w:w="1233" w:type="dxa"/>
            <w:vAlign w:val="center"/>
          </w:tcPr>
          <w:p w14:paraId="5C3350BC">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产地</w:t>
            </w:r>
          </w:p>
        </w:tc>
        <w:tc>
          <w:tcPr>
            <w:tcW w:w="921" w:type="dxa"/>
            <w:vAlign w:val="center"/>
          </w:tcPr>
          <w:p w14:paraId="37AD1ED4">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数量</w:t>
            </w:r>
          </w:p>
        </w:tc>
        <w:tc>
          <w:tcPr>
            <w:tcW w:w="932" w:type="dxa"/>
            <w:vAlign w:val="center"/>
          </w:tcPr>
          <w:p w14:paraId="07847F63">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分项</w:t>
            </w:r>
          </w:p>
          <w:p w14:paraId="0117C0AD">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单价</w:t>
            </w:r>
          </w:p>
        </w:tc>
        <w:tc>
          <w:tcPr>
            <w:tcW w:w="1136" w:type="dxa"/>
            <w:vAlign w:val="center"/>
          </w:tcPr>
          <w:p w14:paraId="074759CF">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分项</w:t>
            </w:r>
          </w:p>
          <w:p w14:paraId="574D0D13">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总价</w:t>
            </w:r>
          </w:p>
        </w:tc>
      </w:tr>
      <w:tr w14:paraId="0C87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500" w:type="dxa"/>
            <w:vAlign w:val="center"/>
          </w:tcPr>
          <w:p w14:paraId="6905EFB0">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052" w:type="dxa"/>
            <w:vAlign w:val="center"/>
          </w:tcPr>
          <w:p w14:paraId="23C934A4">
            <w:pPr>
              <w:spacing w:line="0" w:lineRule="atLeast"/>
              <w:jc w:val="center"/>
              <w:rPr>
                <w:rFonts w:hint="eastAsia" w:ascii="宋体" w:hAnsi="宋体"/>
                <w:color w:val="auto"/>
                <w:sz w:val="24"/>
                <w:szCs w:val="24"/>
                <w:highlight w:val="none"/>
              </w:rPr>
            </w:pPr>
          </w:p>
        </w:tc>
        <w:tc>
          <w:tcPr>
            <w:tcW w:w="814" w:type="dxa"/>
            <w:vAlign w:val="center"/>
          </w:tcPr>
          <w:p w14:paraId="78F53B29">
            <w:pPr>
              <w:spacing w:line="0" w:lineRule="atLeast"/>
              <w:jc w:val="center"/>
              <w:rPr>
                <w:rFonts w:hint="eastAsia" w:ascii="宋体" w:hAnsi="宋体"/>
                <w:color w:val="auto"/>
                <w:sz w:val="24"/>
                <w:szCs w:val="24"/>
                <w:highlight w:val="none"/>
              </w:rPr>
            </w:pPr>
          </w:p>
        </w:tc>
        <w:tc>
          <w:tcPr>
            <w:tcW w:w="1072" w:type="dxa"/>
            <w:vAlign w:val="center"/>
          </w:tcPr>
          <w:p w14:paraId="72EB8DF3">
            <w:pPr>
              <w:spacing w:line="0" w:lineRule="atLeast"/>
              <w:jc w:val="center"/>
              <w:rPr>
                <w:rFonts w:hint="eastAsia" w:ascii="宋体" w:hAnsi="宋体"/>
                <w:color w:val="auto"/>
                <w:sz w:val="24"/>
                <w:szCs w:val="24"/>
                <w:highlight w:val="none"/>
              </w:rPr>
            </w:pPr>
          </w:p>
        </w:tc>
        <w:tc>
          <w:tcPr>
            <w:tcW w:w="1617" w:type="dxa"/>
            <w:vAlign w:val="center"/>
          </w:tcPr>
          <w:p w14:paraId="51B19F6F">
            <w:pPr>
              <w:spacing w:line="0" w:lineRule="atLeast"/>
              <w:jc w:val="center"/>
              <w:rPr>
                <w:rFonts w:hint="eastAsia" w:ascii="宋体" w:hAnsi="宋体"/>
                <w:color w:val="auto"/>
                <w:sz w:val="24"/>
                <w:szCs w:val="24"/>
                <w:highlight w:val="none"/>
              </w:rPr>
            </w:pPr>
          </w:p>
        </w:tc>
        <w:tc>
          <w:tcPr>
            <w:tcW w:w="1233" w:type="dxa"/>
            <w:vAlign w:val="center"/>
          </w:tcPr>
          <w:p w14:paraId="263E3E6A">
            <w:pPr>
              <w:spacing w:line="0" w:lineRule="atLeast"/>
              <w:jc w:val="center"/>
              <w:rPr>
                <w:rFonts w:hint="eastAsia" w:ascii="宋体" w:hAnsi="宋体"/>
                <w:color w:val="auto"/>
                <w:sz w:val="24"/>
                <w:szCs w:val="24"/>
                <w:highlight w:val="none"/>
              </w:rPr>
            </w:pPr>
          </w:p>
        </w:tc>
        <w:tc>
          <w:tcPr>
            <w:tcW w:w="921" w:type="dxa"/>
            <w:vAlign w:val="center"/>
          </w:tcPr>
          <w:p w14:paraId="3CED4139">
            <w:pPr>
              <w:spacing w:line="0" w:lineRule="atLeast"/>
              <w:jc w:val="center"/>
              <w:rPr>
                <w:rFonts w:hint="eastAsia" w:ascii="宋体" w:hAnsi="宋体"/>
                <w:color w:val="auto"/>
                <w:sz w:val="24"/>
                <w:szCs w:val="24"/>
                <w:highlight w:val="none"/>
              </w:rPr>
            </w:pPr>
          </w:p>
        </w:tc>
        <w:tc>
          <w:tcPr>
            <w:tcW w:w="932" w:type="dxa"/>
            <w:vAlign w:val="center"/>
          </w:tcPr>
          <w:p w14:paraId="74EC03F1">
            <w:pPr>
              <w:spacing w:line="0" w:lineRule="atLeast"/>
              <w:jc w:val="center"/>
              <w:rPr>
                <w:rFonts w:hint="eastAsia" w:ascii="宋体" w:hAnsi="宋体"/>
                <w:color w:val="auto"/>
                <w:sz w:val="24"/>
                <w:szCs w:val="24"/>
                <w:highlight w:val="none"/>
              </w:rPr>
            </w:pPr>
          </w:p>
        </w:tc>
        <w:tc>
          <w:tcPr>
            <w:tcW w:w="1136" w:type="dxa"/>
            <w:vAlign w:val="center"/>
          </w:tcPr>
          <w:p w14:paraId="1D602565">
            <w:pPr>
              <w:spacing w:line="0" w:lineRule="atLeast"/>
              <w:jc w:val="center"/>
              <w:rPr>
                <w:rFonts w:hint="eastAsia" w:ascii="宋体" w:hAnsi="宋体"/>
                <w:color w:val="auto"/>
                <w:sz w:val="24"/>
                <w:szCs w:val="24"/>
                <w:highlight w:val="none"/>
              </w:rPr>
            </w:pPr>
          </w:p>
        </w:tc>
      </w:tr>
      <w:tr w14:paraId="642C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00" w:type="dxa"/>
            <w:vAlign w:val="center"/>
          </w:tcPr>
          <w:p w14:paraId="3FF26991">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052" w:type="dxa"/>
            <w:vAlign w:val="center"/>
          </w:tcPr>
          <w:p w14:paraId="51C8A595">
            <w:pPr>
              <w:spacing w:line="0" w:lineRule="atLeast"/>
              <w:jc w:val="center"/>
              <w:rPr>
                <w:rFonts w:hint="eastAsia" w:ascii="宋体" w:hAnsi="宋体"/>
                <w:color w:val="auto"/>
                <w:sz w:val="24"/>
                <w:szCs w:val="24"/>
                <w:highlight w:val="none"/>
              </w:rPr>
            </w:pPr>
          </w:p>
        </w:tc>
        <w:tc>
          <w:tcPr>
            <w:tcW w:w="814" w:type="dxa"/>
            <w:vAlign w:val="center"/>
          </w:tcPr>
          <w:p w14:paraId="19853107">
            <w:pPr>
              <w:spacing w:line="0" w:lineRule="atLeast"/>
              <w:jc w:val="center"/>
              <w:rPr>
                <w:rFonts w:hint="eastAsia" w:ascii="宋体" w:hAnsi="宋体"/>
                <w:color w:val="auto"/>
                <w:sz w:val="24"/>
                <w:szCs w:val="24"/>
                <w:highlight w:val="none"/>
              </w:rPr>
            </w:pPr>
          </w:p>
        </w:tc>
        <w:tc>
          <w:tcPr>
            <w:tcW w:w="1072" w:type="dxa"/>
            <w:vAlign w:val="center"/>
          </w:tcPr>
          <w:p w14:paraId="25B6A29A">
            <w:pPr>
              <w:spacing w:line="0" w:lineRule="atLeast"/>
              <w:jc w:val="center"/>
              <w:rPr>
                <w:rFonts w:hint="eastAsia" w:ascii="宋体" w:hAnsi="宋体"/>
                <w:color w:val="auto"/>
                <w:sz w:val="24"/>
                <w:szCs w:val="24"/>
                <w:highlight w:val="none"/>
              </w:rPr>
            </w:pPr>
          </w:p>
        </w:tc>
        <w:tc>
          <w:tcPr>
            <w:tcW w:w="1617" w:type="dxa"/>
            <w:vAlign w:val="center"/>
          </w:tcPr>
          <w:p w14:paraId="6A88A53D">
            <w:pPr>
              <w:spacing w:line="0" w:lineRule="atLeast"/>
              <w:jc w:val="center"/>
              <w:rPr>
                <w:rFonts w:hint="eastAsia" w:ascii="宋体" w:hAnsi="宋体"/>
                <w:color w:val="auto"/>
                <w:sz w:val="24"/>
                <w:szCs w:val="24"/>
                <w:highlight w:val="none"/>
              </w:rPr>
            </w:pPr>
          </w:p>
        </w:tc>
        <w:tc>
          <w:tcPr>
            <w:tcW w:w="1233" w:type="dxa"/>
          </w:tcPr>
          <w:p w14:paraId="17381750">
            <w:pPr>
              <w:spacing w:line="0" w:lineRule="atLeast"/>
              <w:jc w:val="center"/>
              <w:rPr>
                <w:rFonts w:hint="eastAsia" w:ascii="宋体" w:hAnsi="宋体"/>
                <w:color w:val="auto"/>
                <w:sz w:val="24"/>
                <w:szCs w:val="24"/>
                <w:highlight w:val="none"/>
              </w:rPr>
            </w:pPr>
          </w:p>
        </w:tc>
        <w:tc>
          <w:tcPr>
            <w:tcW w:w="921" w:type="dxa"/>
            <w:vAlign w:val="center"/>
          </w:tcPr>
          <w:p w14:paraId="5DE31F18">
            <w:pPr>
              <w:spacing w:line="0" w:lineRule="atLeast"/>
              <w:jc w:val="center"/>
              <w:rPr>
                <w:rFonts w:hint="eastAsia" w:ascii="宋体" w:hAnsi="宋体"/>
                <w:color w:val="auto"/>
                <w:sz w:val="24"/>
                <w:szCs w:val="24"/>
                <w:highlight w:val="none"/>
                <w:u w:val="single"/>
              </w:rPr>
            </w:pPr>
          </w:p>
        </w:tc>
        <w:tc>
          <w:tcPr>
            <w:tcW w:w="932" w:type="dxa"/>
            <w:vAlign w:val="center"/>
          </w:tcPr>
          <w:p w14:paraId="6D2CBD0C">
            <w:pPr>
              <w:spacing w:line="0" w:lineRule="atLeast"/>
              <w:jc w:val="center"/>
              <w:rPr>
                <w:rFonts w:hint="eastAsia" w:ascii="宋体" w:hAnsi="宋体"/>
                <w:color w:val="auto"/>
                <w:sz w:val="24"/>
                <w:szCs w:val="24"/>
                <w:highlight w:val="none"/>
              </w:rPr>
            </w:pPr>
          </w:p>
        </w:tc>
        <w:tc>
          <w:tcPr>
            <w:tcW w:w="1136" w:type="dxa"/>
            <w:vAlign w:val="center"/>
          </w:tcPr>
          <w:p w14:paraId="685D73B0">
            <w:pPr>
              <w:spacing w:line="0" w:lineRule="atLeast"/>
              <w:jc w:val="center"/>
              <w:rPr>
                <w:rFonts w:hint="eastAsia" w:ascii="宋体" w:hAnsi="宋体"/>
                <w:color w:val="auto"/>
                <w:sz w:val="24"/>
                <w:szCs w:val="24"/>
                <w:highlight w:val="none"/>
              </w:rPr>
            </w:pPr>
          </w:p>
        </w:tc>
      </w:tr>
      <w:tr w14:paraId="0843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00" w:type="dxa"/>
            <w:vAlign w:val="center"/>
          </w:tcPr>
          <w:p w14:paraId="0896936A">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052" w:type="dxa"/>
            <w:vAlign w:val="center"/>
          </w:tcPr>
          <w:p w14:paraId="13A20621">
            <w:pPr>
              <w:spacing w:line="0" w:lineRule="atLeast"/>
              <w:jc w:val="center"/>
              <w:rPr>
                <w:rFonts w:hint="eastAsia" w:ascii="宋体" w:hAnsi="宋体"/>
                <w:color w:val="auto"/>
                <w:sz w:val="24"/>
                <w:szCs w:val="24"/>
                <w:highlight w:val="none"/>
              </w:rPr>
            </w:pPr>
          </w:p>
        </w:tc>
        <w:tc>
          <w:tcPr>
            <w:tcW w:w="814" w:type="dxa"/>
            <w:vAlign w:val="center"/>
          </w:tcPr>
          <w:p w14:paraId="49D1D171">
            <w:pPr>
              <w:spacing w:line="0" w:lineRule="atLeast"/>
              <w:jc w:val="center"/>
              <w:rPr>
                <w:rFonts w:hint="eastAsia" w:ascii="宋体" w:hAnsi="宋体"/>
                <w:color w:val="auto"/>
                <w:sz w:val="24"/>
                <w:szCs w:val="24"/>
                <w:highlight w:val="none"/>
              </w:rPr>
            </w:pPr>
          </w:p>
        </w:tc>
        <w:tc>
          <w:tcPr>
            <w:tcW w:w="1072" w:type="dxa"/>
            <w:vAlign w:val="center"/>
          </w:tcPr>
          <w:p w14:paraId="115CB166">
            <w:pPr>
              <w:spacing w:line="0" w:lineRule="atLeast"/>
              <w:jc w:val="center"/>
              <w:rPr>
                <w:rFonts w:hint="eastAsia" w:ascii="宋体" w:hAnsi="宋体"/>
                <w:color w:val="auto"/>
                <w:sz w:val="24"/>
                <w:szCs w:val="24"/>
                <w:highlight w:val="none"/>
              </w:rPr>
            </w:pPr>
          </w:p>
        </w:tc>
        <w:tc>
          <w:tcPr>
            <w:tcW w:w="1617" w:type="dxa"/>
            <w:vAlign w:val="center"/>
          </w:tcPr>
          <w:p w14:paraId="2C0E4543">
            <w:pPr>
              <w:spacing w:line="0" w:lineRule="atLeast"/>
              <w:jc w:val="center"/>
              <w:rPr>
                <w:rFonts w:hint="eastAsia" w:ascii="宋体" w:hAnsi="宋体"/>
                <w:color w:val="auto"/>
                <w:sz w:val="24"/>
                <w:szCs w:val="24"/>
                <w:highlight w:val="none"/>
              </w:rPr>
            </w:pPr>
          </w:p>
        </w:tc>
        <w:tc>
          <w:tcPr>
            <w:tcW w:w="1233" w:type="dxa"/>
          </w:tcPr>
          <w:p w14:paraId="3A83DF73">
            <w:pPr>
              <w:spacing w:line="0" w:lineRule="atLeast"/>
              <w:jc w:val="center"/>
              <w:rPr>
                <w:rFonts w:hint="eastAsia" w:ascii="宋体" w:hAnsi="宋体"/>
                <w:color w:val="auto"/>
                <w:sz w:val="24"/>
                <w:szCs w:val="24"/>
                <w:highlight w:val="none"/>
              </w:rPr>
            </w:pPr>
          </w:p>
        </w:tc>
        <w:tc>
          <w:tcPr>
            <w:tcW w:w="921" w:type="dxa"/>
            <w:vAlign w:val="center"/>
          </w:tcPr>
          <w:p w14:paraId="70201CE2">
            <w:pPr>
              <w:spacing w:line="0" w:lineRule="atLeast"/>
              <w:jc w:val="center"/>
              <w:rPr>
                <w:rFonts w:hint="eastAsia" w:ascii="宋体" w:hAnsi="宋体"/>
                <w:color w:val="auto"/>
                <w:sz w:val="24"/>
                <w:szCs w:val="24"/>
                <w:highlight w:val="none"/>
              </w:rPr>
            </w:pPr>
          </w:p>
        </w:tc>
        <w:tc>
          <w:tcPr>
            <w:tcW w:w="932" w:type="dxa"/>
            <w:vAlign w:val="center"/>
          </w:tcPr>
          <w:p w14:paraId="1B010FB4">
            <w:pPr>
              <w:spacing w:line="0" w:lineRule="atLeast"/>
              <w:jc w:val="center"/>
              <w:rPr>
                <w:rFonts w:hint="eastAsia" w:ascii="宋体" w:hAnsi="宋体"/>
                <w:color w:val="auto"/>
                <w:sz w:val="24"/>
                <w:szCs w:val="24"/>
                <w:highlight w:val="none"/>
              </w:rPr>
            </w:pPr>
          </w:p>
        </w:tc>
        <w:tc>
          <w:tcPr>
            <w:tcW w:w="1136" w:type="dxa"/>
            <w:vAlign w:val="center"/>
          </w:tcPr>
          <w:p w14:paraId="12C41AC6">
            <w:pPr>
              <w:spacing w:line="0" w:lineRule="atLeast"/>
              <w:jc w:val="center"/>
              <w:rPr>
                <w:rFonts w:hint="eastAsia" w:ascii="宋体" w:hAnsi="宋体"/>
                <w:color w:val="auto"/>
                <w:sz w:val="24"/>
                <w:szCs w:val="24"/>
                <w:highlight w:val="none"/>
              </w:rPr>
            </w:pPr>
          </w:p>
        </w:tc>
      </w:tr>
      <w:tr w14:paraId="61FA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00" w:type="dxa"/>
            <w:vAlign w:val="center"/>
          </w:tcPr>
          <w:p w14:paraId="2F46579D">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1052" w:type="dxa"/>
            <w:vAlign w:val="center"/>
          </w:tcPr>
          <w:p w14:paraId="389BFD26">
            <w:pPr>
              <w:spacing w:line="0" w:lineRule="atLeast"/>
              <w:jc w:val="center"/>
              <w:rPr>
                <w:rFonts w:hint="eastAsia" w:ascii="宋体" w:hAnsi="宋体"/>
                <w:color w:val="auto"/>
                <w:sz w:val="24"/>
                <w:szCs w:val="24"/>
                <w:highlight w:val="none"/>
              </w:rPr>
            </w:pPr>
          </w:p>
        </w:tc>
        <w:tc>
          <w:tcPr>
            <w:tcW w:w="814" w:type="dxa"/>
            <w:vAlign w:val="center"/>
          </w:tcPr>
          <w:p w14:paraId="534B6FD9">
            <w:pPr>
              <w:spacing w:line="0" w:lineRule="atLeast"/>
              <w:jc w:val="center"/>
              <w:rPr>
                <w:rFonts w:hint="eastAsia" w:ascii="宋体" w:hAnsi="宋体"/>
                <w:color w:val="auto"/>
                <w:sz w:val="24"/>
                <w:szCs w:val="24"/>
                <w:highlight w:val="none"/>
              </w:rPr>
            </w:pPr>
          </w:p>
        </w:tc>
        <w:tc>
          <w:tcPr>
            <w:tcW w:w="1072" w:type="dxa"/>
            <w:vAlign w:val="center"/>
          </w:tcPr>
          <w:p w14:paraId="100EB7E5">
            <w:pPr>
              <w:spacing w:line="0" w:lineRule="atLeast"/>
              <w:jc w:val="center"/>
              <w:rPr>
                <w:rFonts w:hint="eastAsia" w:ascii="宋体" w:hAnsi="宋体"/>
                <w:color w:val="auto"/>
                <w:sz w:val="24"/>
                <w:szCs w:val="24"/>
                <w:highlight w:val="none"/>
              </w:rPr>
            </w:pPr>
          </w:p>
        </w:tc>
        <w:tc>
          <w:tcPr>
            <w:tcW w:w="1617" w:type="dxa"/>
            <w:vAlign w:val="center"/>
          </w:tcPr>
          <w:p w14:paraId="1FB17A6D">
            <w:pPr>
              <w:spacing w:line="0" w:lineRule="atLeast"/>
              <w:jc w:val="center"/>
              <w:rPr>
                <w:rFonts w:hint="eastAsia" w:ascii="宋体" w:hAnsi="宋体"/>
                <w:color w:val="auto"/>
                <w:sz w:val="24"/>
                <w:szCs w:val="24"/>
                <w:highlight w:val="none"/>
              </w:rPr>
            </w:pPr>
          </w:p>
        </w:tc>
        <w:tc>
          <w:tcPr>
            <w:tcW w:w="1233" w:type="dxa"/>
          </w:tcPr>
          <w:p w14:paraId="76B25DD8">
            <w:pPr>
              <w:spacing w:line="0" w:lineRule="atLeast"/>
              <w:jc w:val="center"/>
              <w:rPr>
                <w:rFonts w:hint="eastAsia" w:ascii="宋体" w:hAnsi="宋体"/>
                <w:color w:val="auto"/>
                <w:sz w:val="24"/>
                <w:szCs w:val="24"/>
                <w:highlight w:val="none"/>
              </w:rPr>
            </w:pPr>
          </w:p>
        </w:tc>
        <w:tc>
          <w:tcPr>
            <w:tcW w:w="921" w:type="dxa"/>
            <w:vAlign w:val="center"/>
          </w:tcPr>
          <w:p w14:paraId="33C714CA">
            <w:pPr>
              <w:spacing w:line="0" w:lineRule="atLeast"/>
              <w:jc w:val="center"/>
              <w:rPr>
                <w:rFonts w:hint="eastAsia" w:ascii="宋体" w:hAnsi="宋体"/>
                <w:color w:val="auto"/>
                <w:sz w:val="24"/>
                <w:szCs w:val="24"/>
                <w:highlight w:val="none"/>
              </w:rPr>
            </w:pPr>
          </w:p>
        </w:tc>
        <w:tc>
          <w:tcPr>
            <w:tcW w:w="932" w:type="dxa"/>
            <w:vAlign w:val="center"/>
          </w:tcPr>
          <w:p w14:paraId="777563D1">
            <w:pPr>
              <w:spacing w:line="0" w:lineRule="atLeast"/>
              <w:jc w:val="center"/>
              <w:rPr>
                <w:rFonts w:hint="eastAsia" w:ascii="宋体" w:hAnsi="宋体"/>
                <w:color w:val="auto"/>
                <w:sz w:val="24"/>
                <w:szCs w:val="24"/>
                <w:highlight w:val="none"/>
              </w:rPr>
            </w:pPr>
          </w:p>
        </w:tc>
        <w:tc>
          <w:tcPr>
            <w:tcW w:w="1136" w:type="dxa"/>
            <w:vAlign w:val="center"/>
          </w:tcPr>
          <w:p w14:paraId="6D835258">
            <w:pPr>
              <w:spacing w:line="0" w:lineRule="atLeast"/>
              <w:jc w:val="center"/>
              <w:rPr>
                <w:rFonts w:hint="eastAsia" w:ascii="宋体" w:hAnsi="宋体"/>
                <w:color w:val="auto"/>
                <w:sz w:val="24"/>
                <w:szCs w:val="24"/>
                <w:highlight w:val="none"/>
              </w:rPr>
            </w:pPr>
          </w:p>
        </w:tc>
      </w:tr>
      <w:tr w14:paraId="0318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500" w:type="dxa"/>
            <w:vAlign w:val="center"/>
          </w:tcPr>
          <w:p w14:paraId="6F5FF526">
            <w:pPr>
              <w:spacing w:line="0" w:lineRule="atLeast"/>
              <w:jc w:val="center"/>
              <w:rPr>
                <w:rFonts w:hint="eastAsia" w:ascii="宋体" w:hAnsi="宋体"/>
                <w:color w:val="auto"/>
                <w:sz w:val="24"/>
                <w:szCs w:val="24"/>
                <w:highlight w:val="none"/>
              </w:rPr>
            </w:pPr>
            <w:r>
              <w:rPr>
                <w:rFonts w:ascii="宋体" w:hAnsi="宋体"/>
                <w:color w:val="auto"/>
                <w:sz w:val="24"/>
                <w:szCs w:val="24"/>
                <w:highlight w:val="none"/>
              </w:rPr>
              <w:t>…</w:t>
            </w:r>
          </w:p>
        </w:tc>
        <w:tc>
          <w:tcPr>
            <w:tcW w:w="1052" w:type="dxa"/>
            <w:vAlign w:val="center"/>
          </w:tcPr>
          <w:p w14:paraId="4F4CADD6">
            <w:pPr>
              <w:spacing w:line="0" w:lineRule="atLeast"/>
              <w:jc w:val="center"/>
              <w:rPr>
                <w:rFonts w:hint="eastAsia" w:ascii="宋体" w:hAnsi="宋体"/>
                <w:color w:val="auto"/>
                <w:sz w:val="24"/>
                <w:szCs w:val="24"/>
                <w:highlight w:val="none"/>
              </w:rPr>
            </w:pPr>
            <w:r>
              <w:rPr>
                <w:rFonts w:ascii="宋体" w:hAnsi="宋体"/>
                <w:color w:val="auto"/>
                <w:sz w:val="24"/>
                <w:szCs w:val="24"/>
                <w:highlight w:val="none"/>
              </w:rPr>
              <w:t>……</w:t>
            </w:r>
          </w:p>
        </w:tc>
        <w:tc>
          <w:tcPr>
            <w:tcW w:w="814" w:type="dxa"/>
            <w:vAlign w:val="center"/>
          </w:tcPr>
          <w:p w14:paraId="4BB5CE79">
            <w:pPr>
              <w:spacing w:line="0" w:lineRule="atLeast"/>
              <w:jc w:val="center"/>
              <w:rPr>
                <w:rFonts w:hint="eastAsia" w:ascii="宋体" w:hAnsi="宋体"/>
                <w:color w:val="auto"/>
                <w:sz w:val="24"/>
                <w:szCs w:val="24"/>
                <w:highlight w:val="none"/>
              </w:rPr>
            </w:pPr>
          </w:p>
        </w:tc>
        <w:tc>
          <w:tcPr>
            <w:tcW w:w="1072" w:type="dxa"/>
            <w:vAlign w:val="center"/>
          </w:tcPr>
          <w:p w14:paraId="18BEC8BC">
            <w:pPr>
              <w:spacing w:line="0" w:lineRule="atLeast"/>
              <w:jc w:val="center"/>
              <w:rPr>
                <w:rFonts w:hint="eastAsia" w:ascii="宋体" w:hAnsi="宋体"/>
                <w:color w:val="auto"/>
                <w:sz w:val="24"/>
                <w:szCs w:val="24"/>
                <w:highlight w:val="none"/>
              </w:rPr>
            </w:pPr>
          </w:p>
        </w:tc>
        <w:tc>
          <w:tcPr>
            <w:tcW w:w="1617" w:type="dxa"/>
            <w:vAlign w:val="center"/>
          </w:tcPr>
          <w:p w14:paraId="6A27806D">
            <w:pPr>
              <w:spacing w:line="0" w:lineRule="atLeast"/>
              <w:jc w:val="center"/>
              <w:rPr>
                <w:rFonts w:hint="eastAsia" w:ascii="宋体" w:hAnsi="宋体"/>
                <w:color w:val="auto"/>
                <w:sz w:val="24"/>
                <w:szCs w:val="24"/>
                <w:highlight w:val="none"/>
              </w:rPr>
            </w:pPr>
          </w:p>
        </w:tc>
        <w:tc>
          <w:tcPr>
            <w:tcW w:w="1233" w:type="dxa"/>
          </w:tcPr>
          <w:p w14:paraId="0876D547">
            <w:pPr>
              <w:spacing w:line="0" w:lineRule="atLeast"/>
              <w:jc w:val="center"/>
              <w:rPr>
                <w:rFonts w:hint="eastAsia" w:ascii="宋体" w:hAnsi="宋体"/>
                <w:color w:val="auto"/>
                <w:sz w:val="24"/>
                <w:szCs w:val="24"/>
                <w:highlight w:val="none"/>
              </w:rPr>
            </w:pPr>
          </w:p>
        </w:tc>
        <w:tc>
          <w:tcPr>
            <w:tcW w:w="921" w:type="dxa"/>
            <w:vAlign w:val="center"/>
          </w:tcPr>
          <w:p w14:paraId="51E0CC0D">
            <w:pPr>
              <w:spacing w:line="0" w:lineRule="atLeast"/>
              <w:jc w:val="center"/>
              <w:rPr>
                <w:rFonts w:hint="eastAsia" w:ascii="宋体" w:hAnsi="宋体"/>
                <w:color w:val="auto"/>
                <w:sz w:val="24"/>
                <w:szCs w:val="24"/>
                <w:highlight w:val="none"/>
              </w:rPr>
            </w:pPr>
          </w:p>
        </w:tc>
        <w:tc>
          <w:tcPr>
            <w:tcW w:w="932" w:type="dxa"/>
            <w:vAlign w:val="center"/>
          </w:tcPr>
          <w:p w14:paraId="3800DE99">
            <w:pPr>
              <w:spacing w:line="0" w:lineRule="atLeast"/>
              <w:jc w:val="center"/>
              <w:rPr>
                <w:rFonts w:hint="eastAsia" w:ascii="宋体" w:hAnsi="宋体"/>
                <w:color w:val="auto"/>
                <w:sz w:val="24"/>
                <w:szCs w:val="24"/>
                <w:highlight w:val="none"/>
              </w:rPr>
            </w:pPr>
          </w:p>
        </w:tc>
        <w:tc>
          <w:tcPr>
            <w:tcW w:w="1136" w:type="dxa"/>
            <w:vAlign w:val="center"/>
          </w:tcPr>
          <w:p w14:paraId="14685F30">
            <w:pPr>
              <w:spacing w:line="0" w:lineRule="atLeast"/>
              <w:jc w:val="center"/>
              <w:rPr>
                <w:rFonts w:hint="eastAsia" w:ascii="宋体" w:hAnsi="宋体"/>
                <w:color w:val="auto"/>
                <w:sz w:val="24"/>
                <w:szCs w:val="24"/>
                <w:highlight w:val="none"/>
              </w:rPr>
            </w:pPr>
          </w:p>
        </w:tc>
      </w:tr>
      <w:tr w14:paraId="6205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500" w:type="dxa"/>
            <w:vAlign w:val="center"/>
          </w:tcPr>
          <w:p w14:paraId="5BEC9B71">
            <w:pPr>
              <w:spacing w:line="0" w:lineRule="atLeast"/>
              <w:jc w:val="center"/>
              <w:rPr>
                <w:rFonts w:hint="eastAsia" w:ascii="宋体" w:hAnsi="宋体"/>
                <w:color w:val="auto"/>
                <w:sz w:val="24"/>
                <w:szCs w:val="24"/>
                <w:highlight w:val="none"/>
              </w:rPr>
            </w:pPr>
          </w:p>
        </w:tc>
        <w:tc>
          <w:tcPr>
            <w:tcW w:w="1052" w:type="dxa"/>
            <w:vAlign w:val="center"/>
          </w:tcPr>
          <w:p w14:paraId="1F143830">
            <w:pPr>
              <w:spacing w:line="0" w:lineRule="atLeast"/>
              <w:jc w:val="center"/>
              <w:rPr>
                <w:rFonts w:hint="eastAsia" w:ascii="宋体" w:hAnsi="宋体"/>
                <w:color w:val="auto"/>
                <w:sz w:val="24"/>
                <w:szCs w:val="24"/>
                <w:highlight w:val="none"/>
              </w:rPr>
            </w:pPr>
          </w:p>
        </w:tc>
        <w:tc>
          <w:tcPr>
            <w:tcW w:w="814" w:type="dxa"/>
            <w:vAlign w:val="center"/>
          </w:tcPr>
          <w:p w14:paraId="65BC56C3">
            <w:pPr>
              <w:spacing w:line="0" w:lineRule="atLeast"/>
              <w:jc w:val="center"/>
              <w:rPr>
                <w:rFonts w:hint="eastAsia" w:ascii="宋体" w:hAnsi="宋体"/>
                <w:color w:val="auto"/>
                <w:sz w:val="24"/>
                <w:szCs w:val="24"/>
                <w:highlight w:val="none"/>
              </w:rPr>
            </w:pPr>
          </w:p>
        </w:tc>
        <w:tc>
          <w:tcPr>
            <w:tcW w:w="1072" w:type="dxa"/>
            <w:vAlign w:val="center"/>
          </w:tcPr>
          <w:p w14:paraId="05596211">
            <w:pPr>
              <w:spacing w:line="0" w:lineRule="atLeast"/>
              <w:jc w:val="center"/>
              <w:rPr>
                <w:rFonts w:hint="eastAsia" w:ascii="宋体" w:hAnsi="宋体"/>
                <w:color w:val="auto"/>
                <w:sz w:val="24"/>
                <w:szCs w:val="24"/>
                <w:highlight w:val="none"/>
              </w:rPr>
            </w:pPr>
          </w:p>
        </w:tc>
        <w:tc>
          <w:tcPr>
            <w:tcW w:w="1617" w:type="dxa"/>
            <w:vAlign w:val="center"/>
          </w:tcPr>
          <w:p w14:paraId="5113D6E1">
            <w:pPr>
              <w:spacing w:line="0" w:lineRule="atLeast"/>
              <w:jc w:val="center"/>
              <w:rPr>
                <w:rFonts w:hint="eastAsia" w:ascii="宋体" w:hAnsi="宋体"/>
                <w:color w:val="auto"/>
                <w:sz w:val="24"/>
                <w:szCs w:val="24"/>
                <w:highlight w:val="none"/>
              </w:rPr>
            </w:pPr>
          </w:p>
        </w:tc>
        <w:tc>
          <w:tcPr>
            <w:tcW w:w="1233" w:type="dxa"/>
          </w:tcPr>
          <w:p w14:paraId="01275221">
            <w:pPr>
              <w:spacing w:line="0" w:lineRule="atLeast"/>
              <w:jc w:val="center"/>
              <w:rPr>
                <w:rFonts w:hint="eastAsia" w:ascii="宋体" w:hAnsi="宋体"/>
                <w:color w:val="auto"/>
                <w:sz w:val="24"/>
                <w:szCs w:val="24"/>
                <w:highlight w:val="none"/>
              </w:rPr>
            </w:pPr>
          </w:p>
        </w:tc>
        <w:tc>
          <w:tcPr>
            <w:tcW w:w="921" w:type="dxa"/>
            <w:vAlign w:val="center"/>
          </w:tcPr>
          <w:p w14:paraId="5C866E0A">
            <w:pPr>
              <w:spacing w:line="0" w:lineRule="atLeast"/>
              <w:jc w:val="center"/>
              <w:rPr>
                <w:rFonts w:hint="eastAsia" w:ascii="宋体" w:hAnsi="宋体"/>
                <w:color w:val="auto"/>
                <w:sz w:val="24"/>
                <w:szCs w:val="24"/>
                <w:highlight w:val="none"/>
              </w:rPr>
            </w:pPr>
          </w:p>
        </w:tc>
        <w:tc>
          <w:tcPr>
            <w:tcW w:w="932" w:type="dxa"/>
            <w:vAlign w:val="center"/>
          </w:tcPr>
          <w:p w14:paraId="2C385C5D">
            <w:pPr>
              <w:spacing w:line="0" w:lineRule="atLeast"/>
              <w:jc w:val="center"/>
              <w:rPr>
                <w:rFonts w:hint="eastAsia" w:ascii="宋体" w:hAnsi="宋体"/>
                <w:color w:val="auto"/>
                <w:sz w:val="24"/>
                <w:szCs w:val="24"/>
                <w:highlight w:val="none"/>
              </w:rPr>
            </w:pPr>
          </w:p>
        </w:tc>
        <w:tc>
          <w:tcPr>
            <w:tcW w:w="1136" w:type="dxa"/>
            <w:vAlign w:val="center"/>
          </w:tcPr>
          <w:p w14:paraId="093C1BDA">
            <w:pPr>
              <w:spacing w:line="0" w:lineRule="atLeast"/>
              <w:jc w:val="center"/>
              <w:rPr>
                <w:rFonts w:hint="eastAsia" w:ascii="宋体" w:hAnsi="宋体"/>
                <w:color w:val="auto"/>
                <w:sz w:val="24"/>
                <w:szCs w:val="24"/>
                <w:highlight w:val="none"/>
              </w:rPr>
            </w:pPr>
          </w:p>
        </w:tc>
      </w:tr>
      <w:tr w14:paraId="6AD1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2366" w:type="dxa"/>
            <w:gridSpan w:val="3"/>
            <w:vAlign w:val="center"/>
          </w:tcPr>
          <w:p w14:paraId="7D737D1B">
            <w:pPr>
              <w:pStyle w:val="664"/>
              <w:spacing w:line="500" w:lineRule="exact"/>
              <w:jc w:val="center"/>
              <w:rPr>
                <w:rFonts w:hint="eastAsia" w:ascii="宋体" w:hAnsi="宋体"/>
                <w:b/>
                <w:bCs/>
                <w:color w:val="auto"/>
                <w:sz w:val="24"/>
                <w:szCs w:val="24"/>
                <w:highlight w:val="none"/>
              </w:rPr>
            </w:pPr>
            <w:r>
              <w:rPr>
                <w:rFonts w:hint="eastAsia" w:ascii="宋体" w:hAnsi="宋体"/>
                <w:b/>
                <w:bCs/>
                <w:color w:val="auto"/>
                <w:sz w:val="24"/>
                <w:szCs w:val="24"/>
                <w:highlight w:val="none"/>
              </w:rPr>
              <w:t>磋商总价</w:t>
            </w:r>
          </w:p>
        </w:tc>
        <w:tc>
          <w:tcPr>
            <w:tcW w:w="6911" w:type="dxa"/>
            <w:gridSpan w:val="6"/>
            <w:vAlign w:val="center"/>
          </w:tcPr>
          <w:p w14:paraId="529381F9">
            <w:pPr>
              <w:pStyle w:val="664"/>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7FEE0F62">
            <w:pPr>
              <w:pStyle w:val="664"/>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人民币（大写）：</w:t>
            </w:r>
            <w:r>
              <w:rPr>
                <w:rFonts w:hint="eastAsia" w:ascii="宋体" w:hAnsi="宋体"/>
                <w:b/>
                <w:bCs/>
                <w:color w:val="auto"/>
                <w:sz w:val="24"/>
                <w:szCs w:val="24"/>
                <w:highlight w:val="none"/>
                <w:u w:val="single"/>
              </w:rPr>
              <w:t xml:space="preserve"> </w:t>
            </w:r>
            <w:r>
              <w:rPr>
                <w:rFonts w:ascii="宋体" w:hAnsi="宋体"/>
                <w:b/>
                <w:bCs/>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仟     </w:t>
            </w:r>
            <w:r>
              <w:rPr>
                <w:rFonts w:hint="eastAsia" w:ascii="宋体" w:hAnsi="宋体"/>
                <w:bCs/>
                <w:color w:val="auto"/>
                <w:sz w:val="24"/>
                <w:szCs w:val="24"/>
                <w:highlight w:val="none"/>
              </w:rPr>
              <w:t>佰</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拾</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万</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仟</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佰</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拾</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元</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角</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分</w:t>
            </w:r>
          </w:p>
        </w:tc>
      </w:tr>
    </w:tbl>
    <w:p w14:paraId="2E826753">
      <w:pPr>
        <w:spacing w:line="48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备注：“磋商总价”数额应当与“磋商报价表”中“磋商总价”数额一致。</w:t>
      </w:r>
    </w:p>
    <w:p w14:paraId="5BC2AA6D">
      <w:pPr>
        <w:rPr>
          <w:color w:val="auto"/>
          <w:highlight w:val="none"/>
        </w:rPr>
      </w:pPr>
    </w:p>
    <w:p w14:paraId="5610F82E">
      <w:pPr>
        <w:rPr>
          <w:color w:val="auto"/>
          <w:highlight w:val="none"/>
        </w:rPr>
      </w:pPr>
    </w:p>
    <w:p w14:paraId="640DDBB8">
      <w:pPr>
        <w:spacing w:line="460" w:lineRule="exact"/>
        <w:rPr>
          <w:rFonts w:hint="eastAsia" w:ascii="仿宋" w:hAnsi="仿宋" w:eastAsia="仿宋" w:cs="仿宋"/>
          <w:b/>
          <w:color w:val="auto"/>
          <w:sz w:val="32"/>
          <w:szCs w:val="32"/>
          <w:highlight w:val="none"/>
        </w:rPr>
      </w:pPr>
    </w:p>
    <w:p w14:paraId="02B307FA">
      <w:pPr>
        <w:spacing w:line="460" w:lineRule="exact"/>
        <w:rPr>
          <w:rFonts w:hint="eastAsia" w:ascii="仿宋" w:hAnsi="仿宋" w:eastAsia="仿宋" w:cs="仿宋"/>
          <w:b/>
          <w:color w:val="auto"/>
          <w:sz w:val="32"/>
          <w:szCs w:val="32"/>
          <w:highlight w:val="none"/>
        </w:rPr>
      </w:pPr>
    </w:p>
    <w:p w14:paraId="2945A50A">
      <w:pPr>
        <w:spacing w:line="460" w:lineRule="exact"/>
        <w:rPr>
          <w:rFonts w:ascii="仿宋" w:hAnsi="仿宋" w:eastAsia="仿宋" w:cs="仿宋"/>
          <w:b/>
          <w:color w:val="auto"/>
          <w:sz w:val="32"/>
          <w:szCs w:val="32"/>
          <w:highlight w:val="none"/>
        </w:rPr>
      </w:pPr>
    </w:p>
    <w:p w14:paraId="006FEC05">
      <w:pPr>
        <w:spacing w:line="460" w:lineRule="exact"/>
        <w:rPr>
          <w:rFonts w:ascii="仿宋" w:hAnsi="仿宋" w:eastAsia="仿宋" w:cs="仿宋"/>
          <w:b/>
          <w:color w:val="auto"/>
          <w:sz w:val="32"/>
          <w:szCs w:val="32"/>
          <w:highlight w:val="none"/>
        </w:rPr>
      </w:pPr>
    </w:p>
    <w:p w14:paraId="7D7F0704">
      <w:pPr>
        <w:spacing w:line="460" w:lineRule="exact"/>
        <w:rPr>
          <w:rFonts w:ascii="仿宋" w:hAnsi="仿宋" w:eastAsia="仿宋" w:cs="仿宋"/>
          <w:b/>
          <w:color w:val="auto"/>
          <w:sz w:val="32"/>
          <w:szCs w:val="32"/>
          <w:highlight w:val="none"/>
        </w:rPr>
      </w:pPr>
    </w:p>
    <w:p w14:paraId="7D60B69A">
      <w:pPr>
        <w:spacing w:line="460" w:lineRule="exact"/>
        <w:rPr>
          <w:rFonts w:ascii="仿宋" w:hAnsi="仿宋" w:eastAsia="仿宋" w:cs="仿宋"/>
          <w:b/>
          <w:color w:val="auto"/>
          <w:sz w:val="32"/>
          <w:szCs w:val="32"/>
          <w:highlight w:val="none"/>
        </w:rPr>
      </w:pPr>
    </w:p>
    <w:p w14:paraId="7061F0EE">
      <w:pPr>
        <w:spacing w:line="460" w:lineRule="exact"/>
        <w:rPr>
          <w:rFonts w:ascii="仿宋" w:hAnsi="仿宋" w:eastAsia="仿宋" w:cs="仿宋"/>
          <w:b/>
          <w:color w:val="auto"/>
          <w:sz w:val="32"/>
          <w:szCs w:val="32"/>
          <w:highlight w:val="none"/>
        </w:rPr>
      </w:pPr>
    </w:p>
    <w:p w14:paraId="4E4B49D9">
      <w:pPr>
        <w:spacing w:line="460" w:lineRule="exact"/>
        <w:rPr>
          <w:rFonts w:ascii="仿宋" w:hAnsi="仿宋" w:eastAsia="仿宋" w:cs="仿宋"/>
          <w:b/>
          <w:color w:val="auto"/>
          <w:sz w:val="32"/>
          <w:szCs w:val="32"/>
          <w:highlight w:val="none"/>
        </w:rPr>
      </w:pPr>
    </w:p>
    <w:p w14:paraId="39A2E5A9">
      <w:pPr>
        <w:spacing w:line="460" w:lineRule="exact"/>
        <w:rPr>
          <w:rFonts w:ascii="仿宋" w:hAnsi="仿宋" w:eastAsia="仿宋" w:cs="仿宋"/>
          <w:b/>
          <w:color w:val="auto"/>
          <w:sz w:val="32"/>
          <w:szCs w:val="32"/>
          <w:highlight w:val="none"/>
        </w:rPr>
      </w:pPr>
    </w:p>
    <w:p w14:paraId="7FC18AAD">
      <w:pPr>
        <w:spacing w:line="460" w:lineRule="exact"/>
        <w:rPr>
          <w:rFonts w:ascii="仿宋" w:hAnsi="仿宋" w:eastAsia="仿宋" w:cs="仿宋"/>
          <w:b/>
          <w:color w:val="auto"/>
          <w:sz w:val="32"/>
          <w:szCs w:val="32"/>
          <w:highlight w:val="none"/>
        </w:rPr>
      </w:pPr>
    </w:p>
    <w:p w14:paraId="64F39197">
      <w:pPr>
        <w:spacing w:line="460" w:lineRule="exact"/>
        <w:rPr>
          <w:rFonts w:ascii="仿宋" w:hAnsi="仿宋" w:eastAsia="仿宋" w:cs="仿宋"/>
          <w:b/>
          <w:color w:val="auto"/>
          <w:sz w:val="32"/>
          <w:szCs w:val="32"/>
          <w:highlight w:val="none"/>
        </w:rPr>
      </w:pPr>
    </w:p>
    <w:p w14:paraId="046FCFCA">
      <w:pPr>
        <w:spacing w:line="460" w:lineRule="exact"/>
        <w:rPr>
          <w:rFonts w:hint="eastAsia" w:ascii="仿宋" w:hAnsi="仿宋" w:eastAsia="仿宋" w:cs="仿宋"/>
          <w:b/>
          <w:color w:val="auto"/>
          <w:sz w:val="32"/>
          <w:szCs w:val="32"/>
          <w:highlight w:val="none"/>
        </w:rPr>
      </w:pPr>
    </w:p>
    <w:p w14:paraId="6FD93258">
      <w:pPr>
        <w:rPr>
          <w:rFonts w:hint="eastAsia" w:ascii="仿宋" w:hAnsi="仿宋" w:eastAsia="仿宋" w:cs="仿宋"/>
          <w:b/>
          <w:color w:val="auto"/>
          <w:sz w:val="32"/>
          <w:szCs w:val="32"/>
          <w:highlight w:val="none"/>
        </w:rPr>
      </w:pPr>
      <w:r>
        <w:rPr>
          <w:rFonts w:ascii="仿宋" w:hAnsi="仿宋" w:eastAsia="仿宋" w:cs="仿宋"/>
          <w:b/>
          <w:color w:val="auto"/>
          <w:sz w:val="32"/>
          <w:szCs w:val="32"/>
          <w:highlight w:val="none"/>
        </w:rPr>
        <w:br w:type="page" w:clear="all"/>
      </w:r>
    </w:p>
    <w:p w14:paraId="7A6D5646">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106" w:name="_Toc21129"/>
      <w:bookmarkStart w:id="107" w:name="_Toc9025"/>
      <w:r>
        <w:rPr>
          <w:rFonts w:hint="eastAsia" w:ascii="黑体" w:hAnsi="黑体" w:eastAsia="黑体" w:cs="黑体"/>
          <w:b w:val="0"/>
          <w:bCs w:val="0"/>
          <w:color w:val="auto"/>
          <w:sz w:val="32"/>
          <w:highlight w:val="none"/>
        </w:rPr>
        <w:t>六、中小企业或残疾人福利性单位声明函</w:t>
      </w:r>
      <w:bookmarkEnd w:id="106"/>
    </w:p>
    <w:bookmarkEnd w:id="107"/>
    <w:p w14:paraId="708C7E43">
      <w:pPr>
        <w:spacing w:line="400" w:lineRule="exact"/>
        <w:ind w:firstLine="643" w:firstLineChars="200"/>
        <w:jc w:val="center"/>
        <w:rPr>
          <w:rFonts w:ascii="宋体" w:hAnsi="宋体"/>
          <w:b/>
          <w:color w:val="auto"/>
          <w:sz w:val="32"/>
          <w:szCs w:val="32"/>
          <w:highlight w:val="none"/>
        </w:rPr>
      </w:pPr>
    </w:p>
    <w:p w14:paraId="4F93A275">
      <w:pPr>
        <w:pStyle w:val="605"/>
        <w:spacing w:before="151" w:after="151" w:line="600" w:lineRule="exact"/>
        <w:jc w:val="center"/>
        <w:rPr>
          <w:rFonts w:ascii="方正小标宋_GBK" w:eastAsia="方正小标宋_GBK"/>
          <w:color w:val="auto"/>
          <w:sz w:val="32"/>
          <w:szCs w:val="32"/>
          <w:highlight w:val="none"/>
        </w:rPr>
      </w:pPr>
      <w:r>
        <w:rPr>
          <w:rFonts w:hint="eastAsia" w:ascii="方正小标宋_GBK" w:eastAsia="方正小标宋_GBK"/>
          <w:color w:val="auto"/>
          <w:sz w:val="32"/>
          <w:szCs w:val="32"/>
          <w:highlight w:val="none"/>
        </w:rPr>
        <w:t>中小微企业声明函（服务类项目）</w:t>
      </w:r>
    </w:p>
    <w:p w14:paraId="6DCC330D">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本公司（联合体）郑重声明，根据《政府采购促进中小企业发展管理办法》(财库</w:t>
      </w:r>
      <w:r>
        <w:rPr>
          <w:rFonts w:hint="eastAsia" w:ascii="Times New Roman" w:hAnsi="Times New Roman"/>
          <w:color w:val="auto"/>
          <w:sz w:val="24"/>
          <w:szCs w:val="24"/>
          <w:highlight w:val="none"/>
        </w:rPr>
        <w:t>〔2020〕</w:t>
      </w:r>
      <w:r>
        <w:rPr>
          <w:rFonts w:hint="eastAsia" w:ascii="宋体" w:hAnsi="宋体"/>
          <w:color w:val="auto"/>
          <w:sz w:val="24"/>
          <w:szCs w:val="24"/>
          <w:highlight w:val="none"/>
        </w:rPr>
        <w:t>46号)的规定，本公司（联合体）参加</w:t>
      </w:r>
      <w:r>
        <w:rPr>
          <w:rFonts w:hint="eastAsia" w:ascii="宋体" w:hAnsi="宋体"/>
          <w:color w:val="auto"/>
          <w:sz w:val="24"/>
          <w:szCs w:val="24"/>
          <w:highlight w:val="none"/>
          <w:u w:val="single"/>
        </w:rPr>
        <w:t xml:space="preserve"> 单位名称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 xml:space="preserve"> 采购活动，服务全部由符合政策的中小微企业承接。相关企业（含联合体中的中小微企业、签订采购包意向协议的中小微企业）的具体情况如下：</w:t>
      </w:r>
    </w:p>
    <w:p w14:paraId="4DCF5DAD">
      <w:pPr>
        <w:spacing w:line="480" w:lineRule="exact"/>
        <w:ind w:firstLine="480" w:firstLineChars="200"/>
        <w:rPr>
          <w:rFonts w:ascii="Times New Roman" w:hAnsi="Times New Roman"/>
          <w:i/>
          <w:color w:val="auto"/>
          <w:sz w:val="24"/>
          <w:szCs w:val="24"/>
          <w:highlight w:val="none"/>
          <w:u w:val="single"/>
        </w:rPr>
      </w:pPr>
      <w:r>
        <w:rPr>
          <w:rFonts w:ascii="Times New Roman" w:hAnsi="Times New Roman"/>
          <w:color w:val="auto"/>
          <w:sz w:val="24"/>
          <w:szCs w:val="24"/>
          <w:highlight w:val="none"/>
        </w:rPr>
        <w:t>1.</w:t>
      </w:r>
      <w:r>
        <w:rPr>
          <w:rFonts w:ascii="Times New Roman" w:hAnsi="Times New Roman"/>
          <w:color w:val="auto"/>
          <w:sz w:val="24"/>
          <w:szCs w:val="24"/>
          <w:highlight w:val="none"/>
          <w:u w:val="single"/>
        </w:rPr>
        <w:t>（标的名称）</w:t>
      </w:r>
      <w:r>
        <w:rPr>
          <w:rFonts w:ascii="Times New Roman" w:hAnsi="Times New Roman"/>
          <w:i/>
          <w:color w:val="auto"/>
          <w:sz w:val="24"/>
          <w:szCs w:val="24"/>
          <w:highlight w:val="none"/>
        </w:rPr>
        <w:t>，</w:t>
      </w:r>
      <w:r>
        <w:rPr>
          <w:rFonts w:ascii="Times New Roman" w:hAnsi="Times New Roman"/>
          <w:color w:val="auto"/>
          <w:sz w:val="24"/>
          <w:szCs w:val="24"/>
          <w:highlight w:val="none"/>
        </w:rPr>
        <w:t>属于</w:t>
      </w:r>
      <w:r>
        <w:rPr>
          <w:rFonts w:ascii="Times New Roman" w:hAnsi="Times New Roman"/>
          <w:color w:val="auto"/>
          <w:sz w:val="24"/>
          <w:szCs w:val="24"/>
          <w:highlight w:val="none"/>
          <w:u w:val="single"/>
        </w:rPr>
        <w:t>（供应商填写磋商文件中明确的所属行业）</w:t>
      </w:r>
      <w:r>
        <w:rPr>
          <w:rFonts w:ascii="Times New Roman" w:hAnsi="Times New Roman"/>
          <w:color w:val="auto"/>
          <w:sz w:val="24"/>
          <w:szCs w:val="24"/>
          <w:highlight w:val="none"/>
        </w:rPr>
        <w:t>行业；承接企业为</w:t>
      </w:r>
      <w:r>
        <w:rPr>
          <w:rFonts w:ascii="Times New Roman" w:hAnsi="Times New Roman"/>
          <w:color w:val="auto"/>
          <w:sz w:val="24"/>
          <w:szCs w:val="24"/>
          <w:highlight w:val="none"/>
          <w:u w:val="single"/>
        </w:rPr>
        <w:t>（企业名称）</w:t>
      </w:r>
      <w:r>
        <w:rPr>
          <w:rFonts w:ascii="Times New Roman" w:hAnsi="Times New Roman"/>
          <w:color w:val="auto"/>
          <w:sz w:val="24"/>
          <w:szCs w:val="24"/>
          <w:highlight w:val="none"/>
        </w:rPr>
        <w:t>，从业人员</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人，营业收入为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万元，资产总额为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万元，属于</w:t>
      </w:r>
      <w:r>
        <w:rPr>
          <w:rFonts w:ascii="Times New Roman" w:hAnsi="Times New Roman"/>
          <w:color w:val="auto"/>
          <w:sz w:val="24"/>
          <w:szCs w:val="24"/>
          <w:highlight w:val="none"/>
          <w:u w:val="single"/>
        </w:rPr>
        <w:t>（□中型企业 □小型企业 □微型企业）；</w:t>
      </w:r>
    </w:p>
    <w:p w14:paraId="27499BAD">
      <w:pPr>
        <w:spacing w:line="480" w:lineRule="exact"/>
        <w:ind w:firstLine="480" w:firstLineChars="200"/>
        <w:rPr>
          <w:rFonts w:ascii="Times New Roman" w:hAnsi="Times New Roman"/>
          <w:i/>
          <w:color w:val="auto"/>
          <w:sz w:val="24"/>
          <w:szCs w:val="24"/>
          <w:highlight w:val="none"/>
          <w:u w:val="single"/>
        </w:rPr>
      </w:pPr>
      <w:r>
        <w:rPr>
          <w:rFonts w:ascii="Times New Roman" w:hAnsi="Times New Roman"/>
          <w:color w:val="auto"/>
          <w:sz w:val="24"/>
          <w:szCs w:val="24"/>
          <w:highlight w:val="none"/>
        </w:rPr>
        <w:t>2.</w:t>
      </w:r>
      <w:r>
        <w:rPr>
          <w:rFonts w:ascii="Times New Roman" w:hAnsi="Times New Roman"/>
          <w:color w:val="auto"/>
          <w:sz w:val="24"/>
          <w:szCs w:val="24"/>
          <w:highlight w:val="none"/>
          <w:u w:val="single"/>
        </w:rPr>
        <w:t>（标的名称）</w:t>
      </w:r>
      <w:r>
        <w:rPr>
          <w:rFonts w:ascii="Times New Roman" w:hAnsi="Times New Roman"/>
          <w:i/>
          <w:color w:val="auto"/>
          <w:sz w:val="24"/>
          <w:szCs w:val="24"/>
          <w:highlight w:val="none"/>
        </w:rPr>
        <w:t>，</w:t>
      </w:r>
      <w:r>
        <w:rPr>
          <w:rFonts w:ascii="Times New Roman" w:hAnsi="Times New Roman"/>
          <w:color w:val="auto"/>
          <w:sz w:val="24"/>
          <w:szCs w:val="24"/>
          <w:highlight w:val="none"/>
        </w:rPr>
        <w:t>属于</w:t>
      </w:r>
      <w:r>
        <w:rPr>
          <w:rFonts w:ascii="Times New Roman" w:hAnsi="Times New Roman"/>
          <w:color w:val="auto"/>
          <w:sz w:val="24"/>
          <w:szCs w:val="24"/>
          <w:highlight w:val="none"/>
          <w:u w:val="single"/>
        </w:rPr>
        <w:t>（供应商填写磋商文件中明确的所属行业）</w:t>
      </w:r>
      <w:r>
        <w:rPr>
          <w:rFonts w:ascii="Times New Roman" w:hAnsi="Times New Roman"/>
          <w:color w:val="auto"/>
          <w:sz w:val="24"/>
          <w:szCs w:val="24"/>
          <w:highlight w:val="none"/>
        </w:rPr>
        <w:t>行业；承接企业为</w:t>
      </w:r>
      <w:r>
        <w:rPr>
          <w:rFonts w:ascii="Times New Roman" w:hAnsi="Times New Roman"/>
          <w:color w:val="auto"/>
          <w:sz w:val="24"/>
          <w:szCs w:val="24"/>
          <w:highlight w:val="none"/>
          <w:u w:val="single"/>
        </w:rPr>
        <w:t>（企业名称）</w:t>
      </w:r>
      <w:r>
        <w:rPr>
          <w:rFonts w:ascii="Times New Roman" w:hAnsi="Times New Roman"/>
          <w:color w:val="auto"/>
          <w:sz w:val="24"/>
          <w:szCs w:val="24"/>
          <w:highlight w:val="none"/>
        </w:rPr>
        <w:t>，从业人员</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人，营业收入为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万元，资产总额为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万元，属于</w:t>
      </w:r>
      <w:r>
        <w:rPr>
          <w:rFonts w:ascii="Times New Roman" w:hAnsi="Times New Roman"/>
          <w:color w:val="auto"/>
          <w:sz w:val="24"/>
          <w:szCs w:val="24"/>
          <w:highlight w:val="none"/>
          <w:u w:val="single"/>
        </w:rPr>
        <w:t>（□中型企业 □小型企业 □微型企业）；</w:t>
      </w:r>
    </w:p>
    <w:p w14:paraId="4DE60FEB">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w:t>
      </w:r>
    </w:p>
    <w:p w14:paraId="0DFD7C92">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以上企业，不属于大企业的分支机构，不存在控股股东为大企业的情形，也不存在与大企业的负责人为同一人的情形。</w:t>
      </w:r>
    </w:p>
    <w:p w14:paraId="50A0AA7B">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本企业对上述声明内容的真实性负责。如有虚假，将依法承担相应责任</w:t>
      </w:r>
    </w:p>
    <w:p w14:paraId="3EB9086D">
      <w:pPr>
        <w:spacing w:line="480" w:lineRule="exact"/>
        <w:ind w:firstLine="480" w:firstLineChars="200"/>
        <w:rPr>
          <w:rFonts w:ascii="Times New Roman" w:hAnsi="Times New Roman"/>
          <w:color w:val="auto"/>
          <w:sz w:val="24"/>
          <w:szCs w:val="24"/>
          <w:highlight w:val="none"/>
        </w:rPr>
      </w:pPr>
    </w:p>
    <w:p w14:paraId="5B850BF9">
      <w:pPr>
        <w:spacing w:line="480" w:lineRule="exact"/>
        <w:ind w:firstLine="480" w:firstLineChars="200"/>
        <w:jc w:val="right"/>
        <w:rPr>
          <w:rFonts w:ascii="Times New Roman" w:hAnsi="Times New Roman"/>
          <w:color w:val="auto"/>
          <w:sz w:val="24"/>
          <w:szCs w:val="24"/>
          <w:highlight w:val="none"/>
        </w:rPr>
      </w:pPr>
      <w:r>
        <w:rPr>
          <w:rFonts w:ascii="Times New Roman" w:hAnsi="Times New Roman"/>
          <w:color w:val="auto"/>
          <w:sz w:val="24"/>
          <w:szCs w:val="24"/>
          <w:highlight w:val="none"/>
        </w:rPr>
        <w:t>企业名称（加盖CA电子公章）：</w:t>
      </w:r>
    </w:p>
    <w:p w14:paraId="1A292926">
      <w:pPr>
        <w:spacing w:line="480" w:lineRule="exact"/>
        <w:ind w:firstLine="6960" w:firstLineChars="2900"/>
        <w:rPr>
          <w:rFonts w:ascii="Times New Roman" w:hAnsi="Times New Roman"/>
          <w:color w:val="auto"/>
          <w:sz w:val="24"/>
          <w:szCs w:val="24"/>
          <w:highlight w:val="none"/>
        </w:rPr>
      </w:pPr>
      <w:r>
        <w:rPr>
          <w:rFonts w:ascii="Times New Roman" w:hAnsi="Times New Roman"/>
          <w:color w:val="auto"/>
          <w:sz w:val="24"/>
          <w:szCs w:val="24"/>
          <w:highlight w:val="none"/>
        </w:rPr>
        <w:t>日  期：</w:t>
      </w:r>
    </w:p>
    <w:p w14:paraId="381C5A8A">
      <w:pPr>
        <w:spacing w:line="480" w:lineRule="exact"/>
        <w:ind w:firstLine="240" w:firstLineChars="100"/>
        <w:rPr>
          <w:rFonts w:ascii="Times New Roman" w:hAnsi="Times New Roman"/>
          <w:color w:val="auto"/>
          <w:sz w:val="24"/>
          <w:szCs w:val="24"/>
          <w:highlight w:val="none"/>
        </w:rPr>
      </w:pPr>
    </w:p>
    <w:p w14:paraId="1449C9AF">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备注：1.从业人员、营业收入、资产总额填报上一年度数据，无上一年度数据的新成立企业可不填报。</w:t>
      </w:r>
    </w:p>
    <w:p w14:paraId="6DCAEB01">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2.符合报价折扣情形的请将此函填报上传至“企业报价折扣证明”一栏中。</w:t>
      </w:r>
    </w:p>
    <w:p w14:paraId="39B8505C">
      <w:pPr>
        <w:spacing w:line="480" w:lineRule="exact"/>
        <w:ind w:firstLine="480" w:firstLineChars="200"/>
        <w:rPr>
          <w:rFonts w:ascii="Times New Roman" w:hAnsi="Times New Roman"/>
          <w:color w:val="auto"/>
          <w:sz w:val="22"/>
          <w:szCs w:val="21"/>
          <w:highlight w:val="none"/>
        </w:rPr>
      </w:pPr>
      <w:r>
        <w:rPr>
          <w:rFonts w:ascii="Times New Roman" w:hAnsi="Times New Roman"/>
          <w:color w:val="auto"/>
          <w:sz w:val="24"/>
          <w:szCs w:val="24"/>
          <w:highlight w:val="none"/>
        </w:rPr>
        <w:t>3.对照《工业和信息化部、国家统计局、国家发展和改革委员会、财政部关于印发中小企业划型标准规定的通知》(工信部联企业[2011]300号)的规定，供应商自行勾选承接企业的企业规模类型。</w:t>
      </w:r>
    </w:p>
    <w:p w14:paraId="6EEFAACB">
      <w:pPr>
        <w:rPr>
          <w:rFonts w:ascii="Times New Roman" w:hAnsi="Times New Roman"/>
          <w:b/>
          <w:color w:val="auto"/>
          <w:sz w:val="24"/>
          <w:szCs w:val="21"/>
          <w:highlight w:val="none"/>
        </w:rPr>
      </w:pPr>
    </w:p>
    <w:p w14:paraId="484905E9">
      <w:pPr>
        <w:pStyle w:val="605"/>
        <w:spacing w:before="151" w:after="151" w:line="600" w:lineRule="exact"/>
        <w:jc w:val="center"/>
        <w:rPr>
          <w:rFonts w:ascii="方正小标宋_GBK" w:eastAsia="方正小标宋_GBK"/>
          <w:color w:val="auto"/>
          <w:sz w:val="32"/>
          <w:szCs w:val="32"/>
          <w:highlight w:val="none"/>
        </w:rPr>
      </w:pPr>
      <w:r>
        <w:rPr>
          <w:rFonts w:hint="eastAsia" w:ascii="方正小标宋_GBK" w:eastAsia="方正小标宋_GBK"/>
          <w:color w:val="auto"/>
          <w:sz w:val="32"/>
          <w:szCs w:val="32"/>
          <w:highlight w:val="none"/>
        </w:rPr>
        <w:t>中小微企业声明函（货物类项目）</w:t>
      </w:r>
    </w:p>
    <w:p w14:paraId="34748CF1">
      <w:pPr>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本公司（联合体）郑重声明，根据《政府采购促进中小企业发展管理办法》(财库〔2020〕46号)的规定，本公司（联合体）参加</w:t>
      </w:r>
      <w:r>
        <w:rPr>
          <w:rFonts w:hint="eastAsia" w:ascii="Times New Roman" w:hAnsi="Times New Roman"/>
          <w:color w:val="auto"/>
          <w:sz w:val="24"/>
          <w:szCs w:val="24"/>
          <w:highlight w:val="none"/>
          <w:u w:val="single"/>
        </w:rPr>
        <w:t xml:space="preserve"> 单位名称  </w:t>
      </w:r>
      <w:r>
        <w:rPr>
          <w:rFonts w:hint="eastAsia" w:ascii="Times New Roman" w:hAnsi="Times New Roman"/>
          <w:color w:val="auto"/>
          <w:sz w:val="24"/>
          <w:szCs w:val="24"/>
          <w:highlight w:val="none"/>
        </w:rPr>
        <w:t>的</w:t>
      </w:r>
      <w:r>
        <w:rPr>
          <w:rFonts w:hint="eastAsia" w:ascii="Times New Roman" w:hAnsi="Times New Roman"/>
          <w:color w:val="auto"/>
          <w:sz w:val="24"/>
          <w:szCs w:val="24"/>
          <w:highlight w:val="none"/>
          <w:u w:val="single"/>
        </w:rPr>
        <w:t xml:space="preserve">（项目名称） </w:t>
      </w:r>
      <w:r>
        <w:rPr>
          <w:rFonts w:hint="eastAsia" w:ascii="Times New Roman" w:hAnsi="Times New Roman"/>
          <w:color w:val="auto"/>
          <w:sz w:val="24"/>
          <w:szCs w:val="24"/>
          <w:highlight w:val="none"/>
        </w:rPr>
        <w:t>采购活动，提供的货物全部由符合政策要求的中小微企业制造。相关企业（含联合体中的中小微企业、签订采购包意向协议的中小微企业）的具体情况如下：</w:t>
      </w:r>
    </w:p>
    <w:p w14:paraId="764FD675">
      <w:pPr>
        <w:spacing w:line="500" w:lineRule="exact"/>
        <w:ind w:firstLine="480" w:firstLineChars="200"/>
        <w:rPr>
          <w:rFonts w:ascii="Times New Roman" w:hAnsi="Times New Roman"/>
          <w:i/>
          <w:color w:val="auto"/>
          <w:sz w:val="24"/>
          <w:szCs w:val="24"/>
          <w:highlight w:val="none"/>
          <w:u w:val="single"/>
        </w:rPr>
      </w:pPr>
      <w:r>
        <w:rPr>
          <w:rFonts w:hint="eastAsia" w:ascii="Times New Roman" w:hAnsi="Times New Roman"/>
          <w:color w:val="auto"/>
          <w:sz w:val="24"/>
          <w:szCs w:val="24"/>
          <w:highlight w:val="none"/>
        </w:rPr>
        <w:t>1.</w:t>
      </w:r>
      <w:r>
        <w:rPr>
          <w:rFonts w:hint="eastAsia" w:ascii="Times New Roman" w:hAnsi="Times New Roman"/>
          <w:color w:val="auto"/>
          <w:sz w:val="24"/>
          <w:szCs w:val="24"/>
          <w:highlight w:val="none"/>
          <w:u w:val="single"/>
        </w:rPr>
        <w:t>（标的名称）</w:t>
      </w:r>
      <w:r>
        <w:rPr>
          <w:rFonts w:hint="eastAsia" w:ascii="Times New Roman" w:hAnsi="Times New Roman"/>
          <w:i/>
          <w:color w:val="auto"/>
          <w:sz w:val="24"/>
          <w:szCs w:val="24"/>
          <w:highlight w:val="none"/>
        </w:rPr>
        <w:t>，</w:t>
      </w:r>
      <w:r>
        <w:rPr>
          <w:rFonts w:hint="eastAsia" w:ascii="Times New Roman" w:hAnsi="Times New Roman"/>
          <w:color w:val="auto"/>
          <w:sz w:val="24"/>
          <w:szCs w:val="24"/>
          <w:highlight w:val="none"/>
        </w:rPr>
        <w:t>属于</w:t>
      </w:r>
      <w:r>
        <w:rPr>
          <w:rFonts w:hint="eastAsia" w:ascii="Times New Roman" w:hAnsi="Times New Roman"/>
          <w:color w:val="auto"/>
          <w:sz w:val="24"/>
          <w:szCs w:val="24"/>
          <w:highlight w:val="none"/>
          <w:u w:val="single"/>
        </w:rPr>
        <w:t>（供应商填写磋商文件中明确的所属行业）</w:t>
      </w:r>
      <w:r>
        <w:rPr>
          <w:rFonts w:hint="eastAsia" w:ascii="Times New Roman" w:hAnsi="Times New Roman"/>
          <w:color w:val="auto"/>
          <w:sz w:val="24"/>
          <w:szCs w:val="24"/>
          <w:highlight w:val="none"/>
        </w:rPr>
        <w:t>行业；投标产品制造商为</w:t>
      </w:r>
      <w:r>
        <w:rPr>
          <w:rFonts w:hint="eastAsia" w:ascii="Times New Roman" w:hAnsi="Times New Roman"/>
          <w:color w:val="auto"/>
          <w:sz w:val="24"/>
          <w:szCs w:val="24"/>
          <w:highlight w:val="none"/>
          <w:u w:val="single"/>
        </w:rPr>
        <w:t>（企业名称）</w:t>
      </w:r>
      <w:r>
        <w:rPr>
          <w:rFonts w:hint="eastAsia" w:ascii="Times New Roman" w:hAnsi="Times New Roman"/>
          <w:color w:val="auto"/>
          <w:sz w:val="24"/>
          <w:szCs w:val="24"/>
          <w:highlight w:val="none"/>
        </w:rPr>
        <w:t>，从业人员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人，营业收入为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万元，资产总额为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万元，属于</w:t>
      </w:r>
      <w:r>
        <w:rPr>
          <w:rFonts w:hint="eastAsia" w:ascii="Times New Roman" w:hAnsi="Times New Roman"/>
          <w:color w:val="auto"/>
          <w:sz w:val="24"/>
          <w:szCs w:val="24"/>
          <w:highlight w:val="none"/>
          <w:u w:val="single"/>
        </w:rPr>
        <w:t>（□中型企业 □小型企业 □微型企业）；</w:t>
      </w:r>
    </w:p>
    <w:p w14:paraId="6FE34FB2">
      <w:pPr>
        <w:spacing w:line="500" w:lineRule="exact"/>
        <w:ind w:firstLine="480" w:firstLineChars="200"/>
        <w:rPr>
          <w:rFonts w:ascii="Times New Roman" w:hAnsi="Times New Roman"/>
          <w:i/>
          <w:color w:val="auto"/>
          <w:sz w:val="24"/>
          <w:szCs w:val="24"/>
          <w:highlight w:val="none"/>
          <w:u w:val="singl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u w:val="single"/>
        </w:rPr>
        <w:t>（标的名称）</w:t>
      </w:r>
      <w:r>
        <w:rPr>
          <w:rFonts w:hint="eastAsia" w:ascii="Times New Roman" w:hAnsi="Times New Roman"/>
          <w:i/>
          <w:color w:val="auto"/>
          <w:sz w:val="24"/>
          <w:szCs w:val="24"/>
          <w:highlight w:val="none"/>
        </w:rPr>
        <w:t>，</w:t>
      </w:r>
      <w:r>
        <w:rPr>
          <w:rFonts w:hint="eastAsia" w:ascii="Times New Roman" w:hAnsi="Times New Roman"/>
          <w:color w:val="auto"/>
          <w:sz w:val="24"/>
          <w:szCs w:val="24"/>
          <w:highlight w:val="none"/>
        </w:rPr>
        <w:t>属于</w:t>
      </w:r>
      <w:r>
        <w:rPr>
          <w:rFonts w:hint="eastAsia" w:ascii="Times New Roman" w:hAnsi="Times New Roman"/>
          <w:color w:val="auto"/>
          <w:sz w:val="24"/>
          <w:szCs w:val="24"/>
          <w:highlight w:val="none"/>
          <w:u w:val="single"/>
        </w:rPr>
        <w:t>（供应商填写磋商文件中明确的所属行业）</w:t>
      </w:r>
      <w:r>
        <w:rPr>
          <w:rFonts w:hint="eastAsia" w:ascii="Times New Roman" w:hAnsi="Times New Roman"/>
          <w:color w:val="auto"/>
          <w:sz w:val="24"/>
          <w:szCs w:val="24"/>
          <w:highlight w:val="none"/>
        </w:rPr>
        <w:t>行业；投标产品制造商为</w:t>
      </w:r>
      <w:r>
        <w:rPr>
          <w:rFonts w:hint="eastAsia" w:ascii="Times New Roman" w:hAnsi="Times New Roman"/>
          <w:color w:val="auto"/>
          <w:sz w:val="24"/>
          <w:szCs w:val="24"/>
          <w:highlight w:val="none"/>
          <w:u w:val="single"/>
        </w:rPr>
        <w:t>（企业名称）</w:t>
      </w:r>
      <w:r>
        <w:rPr>
          <w:rFonts w:hint="eastAsia" w:ascii="Times New Roman" w:hAnsi="Times New Roman"/>
          <w:color w:val="auto"/>
          <w:sz w:val="24"/>
          <w:szCs w:val="24"/>
          <w:highlight w:val="none"/>
        </w:rPr>
        <w:t>，从业人员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人，营业收入为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万元，资产总额为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万元，属于</w:t>
      </w:r>
      <w:r>
        <w:rPr>
          <w:rFonts w:hint="eastAsia" w:ascii="Times New Roman" w:hAnsi="Times New Roman"/>
          <w:color w:val="auto"/>
          <w:sz w:val="24"/>
          <w:szCs w:val="24"/>
          <w:highlight w:val="none"/>
          <w:u w:val="single"/>
        </w:rPr>
        <w:t>（□中型企业 □小型企业 □微型企业）；</w:t>
      </w:r>
    </w:p>
    <w:p w14:paraId="7E754FFA">
      <w:pPr>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p>
    <w:p w14:paraId="758A34CF">
      <w:pPr>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以上企业，不属于大企业的分支机构，不存在控股股东为大企业的情形，也不存在与大企业的负责人为同一人的情形。</w:t>
      </w:r>
    </w:p>
    <w:p w14:paraId="5218E74E">
      <w:pPr>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本企业对上述声明内容的真实性负责。如有虚假，将依法承担相应责任</w:t>
      </w:r>
    </w:p>
    <w:p w14:paraId="206E69CA">
      <w:pPr>
        <w:spacing w:line="400" w:lineRule="exact"/>
        <w:ind w:right="720"/>
        <w:rPr>
          <w:rFonts w:hint="eastAsia" w:ascii="宋体" w:hAnsi="宋体"/>
          <w:color w:val="auto"/>
          <w:sz w:val="24"/>
          <w:szCs w:val="24"/>
          <w:highlight w:val="none"/>
        </w:rPr>
      </w:pPr>
    </w:p>
    <w:p w14:paraId="46DD24AD">
      <w:pPr>
        <w:spacing w:line="400" w:lineRule="exact"/>
        <w:ind w:right="180" w:firstLine="360" w:firstLineChars="150"/>
        <w:jc w:val="right"/>
        <w:rPr>
          <w:rFonts w:hint="eastAsia" w:ascii="宋体" w:hAnsi="宋体"/>
          <w:color w:val="auto"/>
          <w:sz w:val="24"/>
          <w:szCs w:val="24"/>
          <w:highlight w:val="none"/>
        </w:rPr>
      </w:pPr>
      <w:r>
        <w:rPr>
          <w:rFonts w:hint="eastAsia" w:ascii="宋体" w:hAnsi="宋体"/>
          <w:color w:val="auto"/>
          <w:sz w:val="24"/>
          <w:szCs w:val="24"/>
          <w:highlight w:val="none"/>
        </w:rPr>
        <w:t>企业名称（加盖CA电子公章）：</w:t>
      </w:r>
    </w:p>
    <w:p w14:paraId="2CD4E6D4">
      <w:pPr>
        <w:spacing w:line="400" w:lineRule="exact"/>
        <w:ind w:right="480" w:firstLine="6720" w:firstLineChars="2800"/>
        <w:rPr>
          <w:rFonts w:hint="eastAsia" w:ascii="宋体" w:hAnsi="宋体"/>
          <w:color w:val="auto"/>
          <w:sz w:val="24"/>
          <w:szCs w:val="24"/>
          <w:highlight w:val="none"/>
        </w:rPr>
      </w:pPr>
      <w:r>
        <w:rPr>
          <w:rFonts w:hint="eastAsia" w:ascii="宋体" w:hAnsi="宋体"/>
          <w:color w:val="auto"/>
          <w:sz w:val="24"/>
          <w:szCs w:val="24"/>
          <w:highlight w:val="none"/>
        </w:rPr>
        <w:t>日  期：</w:t>
      </w:r>
    </w:p>
    <w:p w14:paraId="55CC6610">
      <w:pPr>
        <w:spacing w:line="400" w:lineRule="exact"/>
        <w:ind w:firstLine="480" w:firstLineChars="200"/>
        <w:rPr>
          <w:rFonts w:ascii="Times New Roman" w:hAnsi="Times New Roman"/>
          <w:color w:val="auto"/>
          <w:sz w:val="24"/>
          <w:szCs w:val="24"/>
          <w:highlight w:val="none"/>
        </w:rPr>
      </w:pPr>
    </w:p>
    <w:p w14:paraId="1047335A">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备注：1.从业人员、营业收入、资产总额填报上一年度数据，无上一年度数据的新成立企业可不填报。</w:t>
      </w:r>
    </w:p>
    <w:p w14:paraId="1689C1F7">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2.符合报价折扣情形的请将此函填报上传至“企业报价折扣证明”一栏中。</w:t>
      </w:r>
    </w:p>
    <w:p w14:paraId="3DE2D209">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3.对照《工业和信息化部、国家统计局、国家发展和改革委员会、财政部关于印发中小企业划型标准规定的通知》(工信部联企业[2011]300号)的规定，供应商自行勾选制造商的企业规模类型。</w:t>
      </w:r>
    </w:p>
    <w:p w14:paraId="41A06AAD">
      <w:pPr>
        <w:pStyle w:val="603"/>
        <w:spacing w:before="151" w:after="151" w:line="600" w:lineRule="exact"/>
        <w:rPr>
          <w:rFonts w:hint="eastAsia" w:ascii="宋体"/>
          <w:bCs/>
          <w:color w:val="auto"/>
          <w:szCs w:val="32"/>
          <w:highlight w:val="none"/>
        </w:rPr>
      </w:pPr>
      <w:r>
        <w:rPr>
          <w:rFonts w:ascii="宋体" w:hAnsi="宋体"/>
          <w:color w:val="auto"/>
          <w:sz w:val="24"/>
          <w:highlight w:val="none"/>
        </w:rPr>
        <w:br w:type="page"/>
      </w:r>
    </w:p>
    <w:p w14:paraId="42294CA8">
      <w:pPr>
        <w:pStyle w:val="605"/>
        <w:spacing w:before="151" w:after="151" w:line="600" w:lineRule="exact"/>
        <w:jc w:val="center"/>
        <w:rPr>
          <w:rFonts w:hint="eastAsia" w:ascii="方正小标宋_GBK" w:eastAsia="方正小标宋_GBK"/>
          <w:color w:val="auto"/>
          <w:sz w:val="32"/>
          <w:szCs w:val="32"/>
          <w:highlight w:val="none"/>
        </w:rPr>
      </w:pPr>
      <w:r>
        <w:rPr>
          <w:rFonts w:hint="eastAsia" w:ascii="方正小标宋_GBK" w:eastAsia="方正小标宋_GBK"/>
          <w:color w:val="auto"/>
          <w:sz w:val="32"/>
          <w:szCs w:val="32"/>
          <w:highlight w:val="none"/>
        </w:rPr>
        <w:t>残疾人福利性单位声明函</w:t>
      </w:r>
    </w:p>
    <w:p w14:paraId="456EB2C1">
      <w:pPr>
        <w:pStyle w:val="606"/>
        <w:spacing w:line="588" w:lineRule="exact"/>
        <w:rPr>
          <w:rFonts w:ascii="仿宋_GB2312" w:eastAsia="仿宋_GB2312"/>
          <w:b/>
          <w:color w:val="auto"/>
          <w:spacing w:val="6"/>
          <w:sz w:val="30"/>
          <w:szCs w:val="30"/>
          <w:highlight w:val="none"/>
        </w:rPr>
      </w:pPr>
    </w:p>
    <w:p w14:paraId="42CC7B44">
      <w:pPr>
        <w:pStyle w:val="605"/>
        <w:spacing w:line="500" w:lineRule="exact"/>
        <w:ind w:firstLine="480"/>
        <w:rPr>
          <w:rFonts w:ascii="Times New Roman" w:hAnsi="Times New Roman"/>
          <w:color w:val="auto"/>
          <w:sz w:val="24"/>
          <w:highlight w:val="none"/>
        </w:rPr>
      </w:pPr>
      <w:r>
        <w:rPr>
          <w:rFonts w:hint="eastAsia" w:ascii="Times New Roman" w:hAnsi="Times New Roman"/>
          <w:color w:val="auto"/>
          <w:sz w:val="24"/>
          <w:highlight w:val="none"/>
        </w:rPr>
        <w:t>本单位郑重声明，根据《财政部 民政部 中国残疾人联合会关于促进残疾人就业政府采购政策的通知》（财库〔</w:t>
      </w:r>
      <w:r>
        <w:rPr>
          <w:rFonts w:ascii="Times New Roman" w:hAnsi="Times New Roman"/>
          <w:color w:val="auto"/>
          <w:sz w:val="24"/>
          <w:highlight w:val="none"/>
        </w:rPr>
        <w:t>2017</w:t>
      </w:r>
      <w:r>
        <w:rPr>
          <w:rFonts w:hint="eastAsia" w:ascii="Times New Roman" w:hAnsi="Times New Roman"/>
          <w:color w:val="auto"/>
          <w:sz w:val="24"/>
          <w:highlight w:val="none"/>
        </w:rPr>
        <w:t>〕</w:t>
      </w:r>
      <w:r>
        <w:rPr>
          <w:rFonts w:ascii="Times New Roman" w:hAnsi="Times New Roman"/>
          <w:color w:val="auto"/>
          <w:sz w:val="24"/>
          <w:highlight w:val="none"/>
        </w:rPr>
        <w:t>141</w:t>
      </w:r>
      <w:r>
        <w:rPr>
          <w:rFonts w:hint="eastAsia" w:ascii="Times New Roman" w:hAnsi="Times New Roman"/>
          <w:color w:val="auto"/>
          <w:sz w:val="24"/>
          <w:highlight w:val="none"/>
        </w:rPr>
        <w:t>号）的规定，本单位为符合条件的残疾人福利性单位，且本单位参加</w:t>
      </w:r>
      <w:r>
        <w:rPr>
          <w:rFonts w:hint="eastAsia" w:ascii="Times New Roman" w:hAnsi="Times New Roman"/>
          <w:color w:val="auto"/>
          <w:sz w:val="24"/>
          <w:highlight w:val="none"/>
          <w:u w:val="single"/>
        </w:rPr>
        <w:t>（</w:t>
      </w:r>
      <w:r>
        <w:rPr>
          <w:rFonts w:hint="eastAsia" w:ascii="Times New Roman" w:hAnsi="Times New Roman"/>
          <w:color w:val="auto"/>
          <w:sz w:val="24"/>
          <w:szCs w:val="24"/>
          <w:highlight w:val="none"/>
          <w:u w:val="single"/>
        </w:rPr>
        <w:t>单位名称）</w:t>
      </w:r>
      <w:r>
        <w:rPr>
          <w:rFonts w:hint="eastAsia" w:ascii="Times New Roman" w:hAnsi="Times New Roman"/>
          <w:color w:val="auto"/>
          <w:sz w:val="24"/>
          <w:highlight w:val="none"/>
        </w:rPr>
        <w:t>的</w:t>
      </w:r>
      <w:r>
        <w:rPr>
          <w:rFonts w:hint="eastAsia" w:ascii="Times New Roman" w:hAnsi="Times New Roman"/>
          <w:color w:val="auto"/>
          <w:sz w:val="24"/>
          <w:highlight w:val="none"/>
          <w:u w:val="single"/>
        </w:rPr>
        <w:t xml:space="preserve">（项目名称） </w:t>
      </w:r>
      <w:r>
        <w:rPr>
          <w:rFonts w:hint="eastAsia" w:ascii="Times New Roman" w:hAnsi="Times New Roman"/>
          <w:color w:val="auto"/>
          <w:sz w:val="24"/>
          <w:highlight w:val="none"/>
        </w:rPr>
        <w:t>采购活动提供本单位制造的货物（由本单位承担工程/提供服务），或者提供其他残疾人福利性单位制造的货物（不包括使用非残疾人福利性单位注册商标的货物）。</w:t>
      </w:r>
    </w:p>
    <w:p w14:paraId="39A1C1C9">
      <w:pPr>
        <w:pStyle w:val="605"/>
        <w:spacing w:line="500" w:lineRule="exact"/>
        <w:ind w:firstLine="480"/>
        <w:rPr>
          <w:rFonts w:ascii="Times New Roman" w:hAnsi="Times New Roman"/>
          <w:color w:val="auto"/>
          <w:sz w:val="24"/>
          <w:highlight w:val="none"/>
        </w:rPr>
      </w:pPr>
      <w:r>
        <w:rPr>
          <w:rFonts w:hint="eastAsia" w:ascii="Times New Roman" w:hAnsi="Times New Roman"/>
          <w:color w:val="auto"/>
          <w:sz w:val="24"/>
          <w:highlight w:val="none"/>
        </w:rPr>
        <w:t>本单位对上述声明的真实性负责。如有虚假，将依法承担相应责任。</w:t>
      </w:r>
    </w:p>
    <w:p w14:paraId="03C159FD">
      <w:pPr>
        <w:pStyle w:val="607"/>
        <w:spacing w:line="500" w:lineRule="exact"/>
        <w:jc w:val="left"/>
        <w:rPr>
          <w:rFonts w:hint="eastAsia"/>
          <w:color w:val="auto"/>
          <w:sz w:val="24"/>
          <w:highlight w:val="none"/>
        </w:rPr>
      </w:pPr>
    </w:p>
    <w:p w14:paraId="2BA5E99F">
      <w:pPr>
        <w:pStyle w:val="607"/>
        <w:spacing w:line="500" w:lineRule="exact"/>
        <w:ind w:firstLine="480"/>
        <w:jc w:val="left"/>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szCs w:val="24"/>
          <w:highlight w:val="none"/>
        </w:rPr>
        <w:t>盖CA电子公章</w:t>
      </w:r>
      <w:r>
        <w:rPr>
          <w:rFonts w:hint="eastAsia" w:ascii="宋体" w:hAnsi="宋体"/>
          <w:color w:val="auto"/>
          <w:sz w:val="24"/>
          <w:highlight w:val="none"/>
        </w:rPr>
        <w:t>）</w:t>
      </w:r>
    </w:p>
    <w:p w14:paraId="170040C5">
      <w:pPr>
        <w:pStyle w:val="603"/>
        <w:spacing w:line="500" w:lineRule="exact"/>
        <w:ind w:firstLine="480"/>
        <w:rPr>
          <w:rFonts w:ascii="宋体" w:hAnsi="宋体" w:eastAsia="宋体"/>
          <w:b w:val="0"/>
          <w:color w:val="auto"/>
          <w:sz w:val="24"/>
          <w:szCs w:val="20"/>
          <w:highlight w:val="none"/>
        </w:rPr>
      </w:pPr>
      <w:r>
        <w:rPr>
          <w:rFonts w:hint="eastAsia" w:ascii="宋体" w:hAnsi="宋体" w:eastAsia="宋体"/>
          <w:b w:val="0"/>
          <w:color w:val="auto"/>
          <w:sz w:val="24"/>
          <w:szCs w:val="20"/>
          <w:highlight w:val="none"/>
        </w:rPr>
        <w:t>日期：  年  月  日</w:t>
      </w:r>
    </w:p>
    <w:p w14:paraId="3F80A7CF">
      <w:pPr>
        <w:pStyle w:val="608"/>
        <w:spacing w:line="500" w:lineRule="exact"/>
        <w:ind w:left="357" w:firstLine="0"/>
        <w:rPr>
          <w:rFonts w:hint="eastAsia" w:ascii="Times New Roman" w:hAnsi="Times New Roman" w:cs="Arial"/>
          <w:color w:val="auto"/>
          <w:sz w:val="24"/>
          <w:szCs w:val="24"/>
          <w:highlight w:val="none"/>
        </w:rPr>
      </w:pPr>
    </w:p>
    <w:p w14:paraId="66C421E1">
      <w:pPr>
        <w:pStyle w:val="605"/>
        <w:spacing w:before="151" w:after="151" w:line="240" w:lineRule="atLeast"/>
        <w:ind w:firstLine="445"/>
        <w:rPr>
          <w:rFonts w:ascii="Times New Roman" w:hAnsi="Times New Roman"/>
          <w:color w:val="auto"/>
          <w:sz w:val="24"/>
          <w:szCs w:val="24"/>
          <w:highlight w:val="none"/>
        </w:rPr>
      </w:pPr>
      <w:r>
        <w:rPr>
          <w:rFonts w:hint="eastAsia" w:ascii="Times New Roman" w:hAnsi="Times New Roman"/>
          <w:color w:val="auto"/>
          <w:sz w:val="24"/>
          <w:szCs w:val="24"/>
          <w:highlight w:val="none"/>
        </w:rPr>
        <w:t>备注：1.非残疾人福利性单位不需提供此函。</w:t>
      </w:r>
    </w:p>
    <w:p w14:paraId="6F8E5A79">
      <w:pPr>
        <w:pStyle w:val="605"/>
        <w:spacing w:before="151" w:after="151" w:line="240" w:lineRule="atLeast"/>
        <w:ind w:firstLine="445"/>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2.符合报价折扣情形的请将此函填报上传至“企业报价折扣证明”一栏中。</w:t>
      </w:r>
    </w:p>
    <w:p w14:paraId="2ACF69D4">
      <w:pPr>
        <w:pStyle w:val="605"/>
        <w:spacing w:before="151" w:after="151" w:line="240" w:lineRule="atLeast"/>
        <w:ind w:firstLine="445"/>
        <w:rPr>
          <w:rFonts w:hint="eastAsia" w:ascii="Times New Roman" w:hAnsi="Times New Roman"/>
          <w:color w:val="auto"/>
          <w:sz w:val="24"/>
          <w:szCs w:val="24"/>
          <w:highlight w:val="none"/>
        </w:rPr>
      </w:pPr>
    </w:p>
    <w:p w14:paraId="4331BBBC">
      <w:pPr>
        <w:rPr>
          <w:rFonts w:hint="eastAsia" w:ascii="仿宋" w:hAnsi="仿宋" w:eastAsia="仿宋" w:cs="仿宋"/>
          <w:b/>
          <w:color w:val="auto"/>
          <w:sz w:val="24"/>
          <w:szCs w:val="24"/>
          <w:highlight w:val="none"/>
        </w:rPr>
      </w:pPr>
      <w:r>
        <w:rPr>
          <w:rFonts w:hint="eastAsia"/>
          <w:color w:val="auto"/>
          <w:sz w:val="24"/>
          <w:szCs w:val="24"/>
          <w:highlight w:val="none"/>
        </w:rPr>
        <w:br w:type="page" w:clear="all"/>
      </w:r>
    </w:p>
    <w:p w14:paraId="65FBE4CD">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七、技术响应偏离表（技术参数响应）</w:t>
      </w:r>
    </w:p>
    <w:p w14:paraId="12771BC6">
      <w:pPr>
        <w:pStyle w:val="4"/>
        <w:rPr>
          <w:rFonts w:hint="eastAsia"/>
        </w:rPr>
      </w:pPr>
    </w:p>
    <w:tbl>
      <w:tblPr>
        <w:tblStyle w:val="41"/>
        <w:tblW w:w="0" w:type="auto"/>
        <w:tblInd w:w="-117" w:type="dxa"/>
        <w:tblLayout w:type="autofit"/>
        <w:tblCellMar>
          <w:top w:w="0" w:type="dxa"/>
          <w:left w:w="108" w:type="dxa"/>
          <w:bottom w:w="0" w:type="dxa"/>
          <w:right w:w="108" w:type="dxa"/>
        </w:tblCellMar>
      </w:tblPr>
      <w:tblGrid>
        <w:gridCol w:w="2791"/>
        <w:gridCol w:w="2386"/>
        <w:gridCol w:w="1656"/>
        <w:gridCol w:w="2561"/>
      </w:tblGrid>
      <w:tr w14:paraId="481DC6FE">
        <w:tblPrEx>
          <w:tblCellMar>
            <w:top w:w="0" w:type="dxa"/>
            <w:left w:w="108" w:type="dxa"/>
            <w:bottom w:w="0" w:type="dxa"/>
            <w:right w:w="108" w:type="dxa"/>
          </w:tblCellMar>
        </w:tblPrEx>
        <w:trPr>
          <w:trHeight w:val="665" w:hRule="atLeast"/>
        </w:trPr>
        <w:tc>
          <w:tcPr>
            <w:tcW w:w="2791" w:type="dxa"/>
            <w:tcBorders>
              <w:top w:val="single" w:color="000000" w:sz="8" w:space="0"/>
              <w:left w:val="single" w:color="000000" w:sz="8" w:space="0"/>
              <w:bottom w:val="single" w:color="000000" w:sz="8" w:space="0"/>
              <w:right w:val="single" w:color="000000" w:sz="8" w:space="0"/>
            </w:tcBorders>
            <w:vAlign w:val="center"/>
          </w:tcPr>
          <w:p w14:paraId="0B856D95">
            <w:pPr>
              <w:spacing w:before="100" w:line="559" w:lineRule="atLeast"/>
              <w:jc w:val="center"/>
              <w:rPr>
                <w:rFonts w:hint="eastAsia" w:ascii="仿宋" w:hAnsi="仿宋" w:eastAsia="仿宋" w:cs="仿宋"/>
                <w:color w:val="auto"/>
                <w:highlight w:val="none"/>
              </w:rPr>
            </w:pPr>
            <w:r>
              <w:rPr>
                <w:rFonts w:hint="eastAsia" w:ascii="仿宋" w:hAnsi="仿宋" w:eastAsia="仿宋" w:cs="仿宋"/>
                <w:color w:val="auto"/>
                <w:sz w:val="28"/>
                <w:highlight w:val="none"/>
              </w:rPr>
              <w:t>磋商文件内容</w:t>
            </w:r>
          </w:p>
        </w:tc>
        <w:tc>
          <w:tcPr>
            <w:tcW w:w="2386" w:type="dxa"/>
            <w:tcBorders>
              <w:top w:val="single" w:color="000000" w:sz="8" w:space="0"/>
              <w:left w:val="nil"/>
              <w:bottom w:val="single" w:color="000000" w:sz="8" w:space="0"/>
              <w:right w:val="single" w:color="000000" w:sz="8" w:space="0"/>
            </w:tcBorders>
            <w:vAlign w:val="center"/>
          </w:tcPr>
          <w:p w14:paraId="18C9B031">
            <w:pPr>
              <w:spacing w:before="100" w:line="559" w:lineRule="atLeast"/>
              <w:jc w:val="center"/>
              <w:rPr>
                <w:rFonts w:hint="eastAsia" w:ascii="仿宋" w:hAnsi="仿宋" w:eastAsia="仿宋" w:cs="仿宋"/>
                <w:color w:val="auto"/>
                <w:highlight w:val="none"/>
              </w:rPr>
            </w:pPr>
            <w:r>
              <w:rPr>
                <w:rFonts w:hint="eastAsia" w:ascii="仿宋" w:hAnsi="仿宋" w:eastAsia="仿宋" w:cs="仿宋"/>
                <w:color w:val="auto"/>
                <w:sz w:val="28"/>
                <w:highlight w:val="none"/>
              </w:rPr>
              <w:t>响应文件内容</w:t>
            </w:r>
          </w:p>
        </w:tc>
        <w:tc>
          <w:tcPr>
            <w:tcW w:w="1656" w:type="dxa"/>
            <w:tcBorders>
              <w:top w:val="single" w:color="000000" w:sz="8" w:space="0"/>
              <w:left w:val="nil"/>
              <w:bottom w:val="single" w:color="000000" w:sz="8" w:space="0"/>
              <w:right w:val="single" w:color="000000" w:sz="8" w:space="0"/>
            </w:tcBorders>
            <w:vAlign w:val="center"/>
          </w:tcPr>
          <w:p w14:paraId="0C791116">
            <w:pPr>
              <w:spacing w:before="100" w:line="400" w:lineRule="exact"/>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偏离情况（</w:t>
            </w:r>
            <w:r>
              <w:rPr>
                <w:rFonts w:ascii="仿宋" w:hAnsi="仿宋" w:eastAsia="仿宋" w:cs="仿宋"/>
                <w:b/>
                <w:color w:val="auto"/>
                <w:sz w:val="24"/>
                <w:highlight w:val="none"/>
              </w:rPr>
              <w:t>正偏离、负偏离、无偏离</w:t>
            </w:r>
            <w:r>
              <w:rPr>
                <w:rFonts w:hint="eastAsia" w:ascii="仿宋" w:hAnsi="仿宋" w:eastAsia="仿宋" w:cs="仿宋"/>
                <w:color w:val="auto"/>
                <w:sz w:val="28"/>
                <w:highlight w:val="none"/>
              </w:rPr>
              <w:t>）</w:t>
            </w:r>
          </w:p>
        </w:tc>
        <w:tc>
          <w:tcPr>
            <w:tcW w:w="2561" w:type="dxa"/>
            <w:tcBorders>
              <w:top w:val="single" w:color="000000" w:sz="8" w:space="0"/>
              <w:left w:val="nil"/>
              <w:bottom w:val="single" w:color="000000" w:sz="8" w:space="0"/>
              <w:right w:val="single" w:color="000000" w:sz="8" w:space="0"/>
            </w:tcBorders>
            <w:vAlign w:val="center"/>
          </w:tcPr>
          <w:p w14:paraId="1B911ED5">
            <w:pPr>
              <w:spacing w:before="100" w:line="559"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highlight w:val="none"/>
              </w:rPr>
              <w:t>偏离内容及说明</w:t>
            </w:r>
          </w:p>
          <w:p w14:paraId="2958A0CE">
            <w:pPr>
              <w:spacing w:before="100" w:line="559" w:lineRule="atLeast"/>
              <w:jc w:val="center"/>
              <w:rPr>
                <w:rFonts w:hint="eastAsia" w:ascii="仿宋" w:hAnsi="仿宋" w:eastAsia="仿宋" w:cs="仿宋"/>
                <w:color w:val="auto"/>
                <w:highlight w:val="none"/>
              </w:rPr>
            </w:pPr>
          </w:p>
        </w:tc>
      </w:tr>
      <w:tr w14:paraId="006CEB40">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3967D50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5F64C782">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3846AF21">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0AB943D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4A4B0682">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6D899CB0">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534CECBF">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4923347A">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66A10509">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2FA3AFEF">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3B4573B5">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7274AF5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017836A4">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7BD4D95D">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621B3D57">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35A13F76">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060C7154">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266466BA">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74C5C4C9">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3D834355">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4A0D2937">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75F3116C">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08F05266">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0695D7C5">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779E42B3">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6FBAF881">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72DC6AE4">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0CFD9AC0">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78267D35">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7FD6C4EB">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0D71D553">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63119436">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346FCB43">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3FD5958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5BFD75B8">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6D4D59E3">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4B7E56A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48CFCC0A">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66D38761">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622835FA">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2599F9C0">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1F0EEF6D">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1B03F6AD">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021B08AB">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r w14:paraId="61EC11EA">
        <w:tblPrEx>
          <w:tblCellMar>
            <w:top w:w="0" w:type="dxa"/>
            <w:left w:w="108" w:type="dxa"/>
            <w:bottom w:w="0" w:type="dxa"/>
            <w:right w:w="108" w:type="dxa"/>
          </w:tblCellMar>
        </w:tblPrEx>
        <w:trPr>
          <w:trHeight w:val="665" w:hRule="atLeast"/>
        </w:trPr>
        <w:tc>
          <w:tcPr>
            <w:tcW w:w="2791" w:type="dxa"/>
            <w:tcBorders>
              <w:top w:val="nil"/>
              <w:left w:val="single" w:color="000000" w:sz="8" w:space="0"/>
              <w:bottom w:val="single" w:color="000000" w:sz="8" w:space="0"/>
              <w:right w:val="single" w:color="000000" w:sz="8" w:space="0"/>
            </w:tcBorders>
            <w:vAlign w:val="center"/>
          </w:tcPr>
          <w:p w14:paraId="3BAB97F5">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2386" w:type="dxa"/>
            <w:tcBorders>
              <w:top w:val="nil"/>
              <w:left w:val="nil"/>
              <w:bottom w:val="single" w:color="000000" w:sz="8" w:space="0"/>
              <w:right w:val="single" w:color="000000" w:sz="8" w:space="0"/>
            </w:tcBorders>
            <w:vAlign w:val="center"/>
          </w:tcPr>
          <w:p w14:paraId="40F15E35">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c>
          <w:tcPr>
            <w:tcW w:w="1656" w:type="dxa"/>
            <w:tcBorders>
              <w:top w:val="nil"/>
              <w:left w:val="nil"/>
              <w:bottom w:val="single" w:color="000000" w:sz="8" w:space="0"/>
              <w:right w:val="single" w:color="000000" w:sz="8" w:space="0"/>
            </w:tcBorders>
            <w:vAlign w:val="center"/>
          </w:tcPr>
          <w:p w14:paraId="06B7E6AF">
            <w:pPr>
              <w:spacing w:line="559" w:lineRule="atLeast"/>
              <w:jc w:val="center"/>
              <w:rPr>
                <w:rFonts w:hint="eastAsia" w:ascii="仿宋" w:hAnsi="仿宋" w:eastAsia="仿宋" w:cs="仿宋"/>
                <w:color w:val="auto"/>
                <w:sz w:val="24"/>
                <w:highlight w:val="none"/>
              </w:rPr>
            </w:pPr>
          </w:p>
        </w:tc>
        <w:tc>
          <w:tcPr>
            <w:tcW w:w="2561" w:type="dxa"/>
            <w:tcBorders>
              <w:top w:val="nil"/>
              <w:left w:val="nil"/>
              <w:bottom w:val="single" w:color="000000" w:sz="8" w:space="0"/>
              <w:right w:val="single" w:color="000000" w:sz="8" w:space="0"/>
            </w:tcBorders>
            <w:vAlign w:val="center"/>
          </w:tcPr>
          <w:p w14:paraId="5819695E">
            <w:pPr>
              <w:spacing w:line="559" w:lineRule="atLeast"/>
              <w:jc w:val="center"/>
              <w:rPr>
                <w:rFonts w:hint="eastAsia" w:ascii="仿宋" w:hAnsi="仿宋" w:eastAsia="仿宋" w:cs="仿宋"/>
                <w:color w:val="auto"/>
                <w:highlight w:val="none"/>
              </w:rPr>
            </w:pPr>
            <w:r>
              <w:rPr>
                <w:rFonts w:hint="eastAsia" w:ascii="仿宋" w:hAnsi="仿宋" w:eastAsia="仿宋" w:cs="仿宋"/>
                <w:color w:val="auto"/>
                <w:sz w:val="24"/>
                <w:highlight w:val="none"/>
              </w:rPr>
              <w:t> </w:t>
            </w:r>
          </w:p>
        </w:tc>
      </w:tr>
    </w:tbl>
    <w:p w14:paraId="387824E3">
      <w:pPr>
        <w:spacing w:line="559" w:lineRule="atLeast"/>
        <w:jc w:val="right"/>
        <w:rPr>
          <w:rFonts w:hint="eastAsia" w:ascii="宋体" w:hAnsi="宋体" w:cs="仿宋"/>
          <w:color w:val="auto"/>
          <w:highlight w:val="none"/>
        </w:rPr>
      </w:pPr>
      <w:r>
        <w:rPr>
          <w:rFonts w:hint="eastAsia" w:ascii="宋体" w:hAnsi="宋体" w:cs="仿宋"/>
          <w:color w:val="auto"/>
          <w:sz w:val="24"/>
          <w:highlight w:val="none"/>
        </w:rPr>
        <w:t>单位名称：</w:t>
      </w:r>
      <w:r>
        <w:rPr>
          <w:rFonts w:hint="eastAsia" w:ascii="宋体" w:hAnsi="宋体" w:cs="仿宋"/>
          <w:color w:val="auto"/>
          <w:sz w:val="24"/>
          <w:highlight w:val="none"/>
          <w:u w:val="single"/>
        </w:rPr>
        <w:t>             </w:t>
      </w:r>
      <w:r>
        <w:rPr>
          <w:rFonts w:hint="eastAsia" w:ascii="宋体" w:hAnsi="宋体" w:cs="仿宋"/>
          <w:color w:val="auto"/>
          <w:sz w:val="24"/>
          <w:highlight w:val="none"/>
        </w:rPr>
        <w:t>（</w:t>
      </w:r>
      <w:r>
        <w:rPr>
          <w:rFonts w:ascii="宋体" w:hAnsi="宋体" w:cs="仿宋"/>
          <w:color w:val="auto"/>
          <w:sz w:val="24"/>
          <w:highlight w:val="none"/>
        </w:rPr>
        <w:t>盖</w:t>
      </w:r>
      <w:r>
        <w:rPr>
          <w:rFonts w:hint="eastAsia" w:ascii="宋体" w:hAnsi="宋体" w:cs="仿宋"/>
          <w:color w:val="auto"/>
          <w:sz w:val="24"/>
          <w:highlight w:val="none"/>
        </w:rPr>
        <w:t>CA</w:t>
      </w:r>
      <w:r>
        <w:rPr>
          <w:rFonts w:ascii="宋体" w:hAnsi="宋体" w:cs="仿宋"/>
          <w:color w:val="auto"/>
          <w:sz w:val="24"/>
          <w:highlight w:val="none"/>
        </w:rPr>
        <w:t>电子公章）</w:t>
      </w:r>
    </w:p>
    <w:p w14:paraId="742BDB00">
      <w:pPr>
        <w:rPr>
          <w:rFonts w:hint="eastAsia" w:ascii="宋体" w:hAnsi="宋体" w:cs="仿宋"/>
          <w:color w:val="auto"/>
          <w:highlight w:val="none"/>
        </w:rPr>
      </w:pPr>
    </w:p>
    <w:p w14:paraId="7558CA9F">
      <w:pPr>
        <w:pStyle w:val="39"/>
        <w:widowControl w:val="0"/>
        <w:spacing w:before="0" w:beforeAutospacing="0" w:after="0" w:afterAutospacing="0" w:line="480" w:lineRule="exact"/>
        <w:ind w:firstLine="482" w:firstLineChars="200"/>
        <w:jc w:val="both"/>
        <w:rPr>
          <w:rFonts w:cs="仿宋"/>
          <w:b/>
          <w:bCs/>
          <w:color w:val="auto"/>
          <w:szCs w:val="28"/>
          <w:highlight w:val="none"/>
        </w:rPr>
      </w:pPr>
      <w:r>
        <w:rPr>
          <w:rFonts w:hint="eastAsia" w:cs="仿宋"/>
          <w:b/>
          <w:bCs/>
          <w:color w:val="auto"/>
          <w:szCs w:val="28"/>
          <w:highlight w:val="none"/>
        </w:rPr>
        <w:t>备注：</w:t>
      </w:r>
      <w:r>
        <w:rPr>
          <w:rFonts w:hint="eastAsia" w:ascii="Times New Roman" w:hAnsi="Times New Roman" w:cs="仿宋"/>
          <w:color w:val="auto"/>
          <w:szCs w:val="28"/>
          <w:highlight w:val="none"/>
        </w:rPr>
        <w:t>1.</w:t>
      </w:r>
      <w:r>
        <w:rPr>
          <w:rFonts w:hint="eastAsia" w:ascii="Times New Roman" w:hAnsi="Times New Roman"/>
          <w:color w:val="auto"/>
          <w:szCs w:val="20"/>
          <w:highlight w:val="none"/>
        </w:rPr>
        <w:t>针对采购需求中的实质性要求（“★”内容），供应商须做出明确响应。采购需求中要求提供证明材料的，以证明材料为准；若《技术响应偏离表》填写情况与提供证明材料的内容不一致，以证明材料为准；采购需求中未要求提供证明材料的，以《技术响应偏离表》为准，《技术响应偏离表》中未列明的，</w:t>
      </w:r>
      <w:r>
        <w:rPr>
          <w:rFonts w:hint="eastAsia" w:ascii="Times New Roman" w:hAnsi="Times New Roman"/>
          <w:b/>
          <w:bCs/>
          <w:color w:val="auto"/>
          <w:szCs w:val="20"/>
          <w:highlight w:val="none"/>
        </w:rPr>
        <w:t>作无效响应处理。</w:t>
      </w:r>
    </w:p>
    <w:p w14:paraId="31ADD889">
      <w:pPr>
        <w:pStyle w:val="39"/>
        <w:widowControl w:val="0"/>
        <w:spacing w:before="0" w:beforeAutospacing="0" w:after="0" w:afterAutospacing="0" w:line="480" w:lineRule="exact"/>
        <w:ind w:firstLine="480" w:firstLineChars="200"/>
        <w:jc w:val="both"/>
        <w:rPr>
          <w:rFonts w:hint="eastAsia" w:ascii="Times New Roman" w:hAnsi="Times New Roman"/>
          <w:color w:val="auto"/>
          <w:szCs w:val="20"/>
          <w:highlight w:val="none"/>
        </w:rPr>
      </w:pPr>
      <w:r>
        <w:rPr>
          <w:rFonts w:hint="eastAsia" w:ascii="Times New Roman" w:hAnsi="Times New Roman" w:cs="仿宋"/>
          <w:color w:val="auto"/>
          <w:szCs w:val="28"/>
          <w:highlight w:val="none"/>
        </w:rPr>
        <w:t>2.对采购需求的其它非实质性要求，供应商按所投产品（服务）情况</w:t>
      </w:r>
      <w:r>
        <w:rPr>
          <w:rFonts w:ascii="Times New Roman" w:hAnsi="Times New Roman" w:cs="仿宋"/>
          <w:color w:val="auto"/>
          <w:szCs w:val="28"/>
          <w:highlight w:val="none"/>
        </w:rPr>
        <w:t>在此表中详细列出偏离情况（包括正偏离、负偏离、无偏离）并说明理由</w:t>
      </w:r>
      <w:r>
        <w:rPr>
          <w:rFonts w:hint="eastAsia" w:ascii="Times New Roman" w:hAnsi="Times New Roman" w:cs="仿宋"/>
          <w:color w:val="auto"/>
          <w:szCs w:val="28"/>
          <w:highlight w:val="none"/>
        </w:rPr>
        <w:t>；未列明的均视为未响应磋商文件要求</w:t>
      </w:r>
      <w:r>
        <w:rPr>
          <w:rFonts w:ascii="Times New Roman" w:hAnsi="Times New Roman" w:cs="仿宋"/>
          <w:color w:val="auto"/>
          <w:szCs w:val="28"/>
          <w:highlight w:val="none"/>
        </w:rPr>
        <w:t>。</w:t>
      </w:r>
    </w:p>
    <w:p w14:paraId="4CED57EF">
      <w:pPr>
        <w:rPr>
          <w:rFonts w:hint="eastAsia" w:ascii="宋体" w:hAnsi="宋体" w:cs="宋体"/>
          <w:b/>
          <w:bCs/>
          <w:color w:val="auto"/>
          <w:sz w:val="32"/>
          <w:szCs w:val="32"/>
          <w:highlight w:val="none"/>
        </w:rPr>
      </w:pPr>
      <w:r>
        <w:rPr>
          <w:rFonts w:ascii="黑体" w:hAnsi="黑体" w:eastAsia="黑体"/>
          <w:b/>
          <w:color w:val="auto"/>
          <w:sz w:val="32"/>
          <w:szCs w:val="32"/>
          <w:highlight w:val="none"/>
        </w:rPr>
        <w:br w:type="page" w:clear="all"/>
      </w:r>
    </w:p>
    <w:p w14:paraId="48534883">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八、</w:t>
      </w:r>
      <w:bookmarkEnd w:id="101"/>
      <w:r>
        <w:rPr>
          <w:rFonts w:hint="eastAsia" w:ascii="黑体" w:hAnsi="黑体" w:eastAsia="黑体" w:cs="黑体"/>
          <w:b w:val="0"/>
          <w:bCs w:val="0"/>
          <w:color w:val="auto"/>
          <w:sz w:val="32"/>
          <w:highlight w:val="none"/>
        </w:rPr>
        <w:t>项目组人员</w:t>
      </w:r>
    </w:p>
    <w:tbl>
      <w:tblPr>
        <w:tblStyle w:val="41"/>
        <w:tblpPr w:leftFromText="180" w:rightFromText="180" w:vertAnchor="text" w:horzAnchor="margin" w:tblpXSpec="center" w:tblpY="7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43"/>
        <w:gridCol w:w="992"/>
        <w:gridCol w:w="1984"/>
        <w:gridCol w:w="1702"/>
        <w:gridCol w:w="962"/>
      </w:tblGrid>
      <w:tr w14:paraId="2E980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3E119784">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姓名</w:t>
            </w:r>
          </w:p>
        </w:tc>
        <w:tc>
          <w:tcPr>
            <w:tcW w:w="1843" w:type="dxa"/>
            <w:tcBorders>
              <w:top w:val="single" w:color="000000" w:sz="4" w:space="0"/>
              <w:left w:val="single" w:color="000000" w:sz="4" w:space="0"/>
              <w:bottom w:val="single" w:color="000000" w:sz="4" w:space="0"/>
              <w:right w:val="single" w:color="000000" w:sz="4" w:space="0"/>
            </w:tcBorders>
            <w:vAlign w:val="center"/>
          </w:tcPr>
          <w:p w14:paraId="43EE7932">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职务</w:t>
            </w:r>
          </w:p>
        </w:tc>
        <w:tc>
          <w:tcPr>
            <w:tcW w:w="992" w:type="dxa"/>
            <w:tcBorders>
              <w:top w:val="single" w:color="000000" w:sz="4" w:space="0"/>
              <w:left w:val="single" w:color="000000" w:sz="4" w:space="0"/>
              <w:bottom w:val="single" w:color="000000" w:sz="4" w:space="0"/>
              <w:right w:val="single" w:color="000000" w:sz="4" w:space="0"/>
            </w:tcBorders>
            <w:vAlign w:val="center"/>
          </w:tcPr>
          <w:p w14:paraId="2EAC4FA1">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学历</w:t>
            </w:r>
          </w:p>
        </w:tc>
        <w:tc>
          <w:tcPr>
            <w:tcW w:w="1984" w:type="dxa"/>
            <w:tcBorders>
              <w:top w:val="single" w:color="000000" w:sz="4" w:space="0"/>
              <w:left w:val="single" w:color="000000" w:sz="4" w:space="0"/>
              <w:bottom w:val="single" w:color="000000" w:sz="4" w:space="0"/>
              <w:right w:val="single" w:color="000000" w:sz="4" w:space="0"/>
            </w:tcBorders>
            <w:vAlign w:val="center"/>
          </w:tcPr>
          <w:p w14:paraId="23778C83">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身份证号</w:t>
            </w:r>
          </w:p>
        </w:tc>
        <w:tc>
          <w:tcPr>
            <w:tcW w:w="1702" w:type="dxa"/>
            <w:tcBorders>
              <w:top w:val="single" w:color="000000" w:sz="4" w:space="0"/>
              <w:left w:val="single" w:color="000000" w:sz="4" w:space="0"/>
              <w:bottom w:val="single" w:color="000000" w:sz="4" w:space="0"/>
              <w:right w:val="single" w:color="000000" w:sz="4" w:space="0"/>
            </w:tcBorders>
            <w:vAlign w:val="center"/>
          </w:tcPr>
          <w:p w14:paraId="3C5639D5">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相关证书</w:t>
            </w:r>
          </w:p>
        </w:tc>
        <w:tc>
          <w:tcPr>
            <w:tcW w:w="962" w:type="dxa"/>
            <w:tcBorders>
              <w:top w:val="single" w:color="000000" w:sz="4" w:space="0"/>
              <w:left w:val="single" w:color="000000" w:sz="4" w:space="0"/>
              <w:bottom w:val="single" w:color="000000" w:sz="4" w:space="0"/>
              <w:right w:val="single" w:color="000000" w:sz="4" w:space="0"/>
            </w:tcBorders>
            <w:vAlign w:val="center"/>
          </w:tcPr>
          <w:p w14:paraId="52F57BB7">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备注</w:t>
            </w:r>
          </w:p>
        </w:tc>
      </w:tr>
      <w:tr w14:paraId="6645D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191520A9">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A92A2BF">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67A71CC">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626C74FA">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75D07ACD">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5A03FE76">
            <w:pPr>
              <w:pStyle w:val="672"/>
              <w:widowControl/>
              <w:spacing w:line="560" w:lineRule="exact"/>
              <w:ind w:firstLine="560"/>
              <w:jc w:val="center"/>
              <w:rPr>
                <w:rFonts w:hint="eastAsia" w:ascii="仿宋" w:hAnsi="仿宋" w:eastAsia="仿宋" w:cs="仿宋"/>
                <w:color w:val="auto"/>
                <w:sz w:val="28"/>
                <w:szCs w:val="28"/>
                <w:highlight w:val="none"/>
              </w:rPr>
            </w:pPr>
          </w:p>
        </w:tc>
      </w:tr>
      <w:tr w14:paraId="19962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20203B88">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F9887EE">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9A37FCA">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406A496A">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488F49F7">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3C155622">
            <w:pPr>
              <w:pStyle w:val="672"/>
              <w:widowControl/>
              <w:spacing w:line="560" w:lineRule="exact"/>
              <w:ind w:firstLine="560"/>
              <w:jc w:val="center"/>
              <w:rPr>
                <w:rFonts w:hint="eastAsia" w:ascii="仿宋" w:hAnsi="仿宋" w:eastAsia="仿宋" w:cs="仿宋"/>
                <w:color w:val="auto"/>
                <w:sz w:val="28"/>
                <w:szCs w:val="28"/>
                <w:highlight w:val="none"/>
              </w:rPr>
            </w:pPr>
          </w:p>
        </w:tc>
      </w:tr>
      <w:tr w14:paraId="692DE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2FAA11A8">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A7436CB">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766DEA4">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0780BB3">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2865AEDE">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5FF23025">
            <w:pPr>
              <w:pStyle w:val="672"/>
              <w:widowControl/>
              <w:spacing w:line="560" w:lineRule="exact"/>
              <w:ind w:firstLine="560"/>
              <w:jc w:val="center"/>
              <w:rPr>
                <w:rFonts w:hint="eastAsia" w:ascii="仿宋" w:hAnsi="仿宋" w:eastAsia="仿宋" w:cs="仿宋"/>
                <w:color w:val="auto"/>
                <w:sz w:val="28"/>
                <w:szCs w:val="28"/>
                <w:highlight w:val="none"/>
              </w:rPr>
            </w:pPr>
          </w:p>
        </w:tc>
      </w:tr>
      <w:tr w14:paraId="05776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22558F0D">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75D97B3">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C918DC9">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26F9371B">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41C3CD9E">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0FB3F2D4">
            <w:pPr>
              <w:pStyle w:val="672"/>
              <w:widowControl/>
              <w:spacing w:line="560" w:lineRule="exact"/>
              <w:ind w:firstLine="560"/>
              <w:jc w:val="center"/>
              <w:rPr>
                <w:rFonts w:hint="eastAsia" w:ascii="仿宋" w:hAnsi="仿宋" w:eastAsia="仿宋" w:cs="仿宋"/>
                <w:color w:val="auto"/>
                <w:sz w:val="28"/>
                <w:szCs w:val="28"/>
                <w:highlight w:val="none"/>
              </w:rPr>
            </w:pPr>
          </w:p>
        </w:tc>
      </w:tr>
      <w:tr w14:paraId="1DB2B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519CBB57">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4CBD080">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A0A7473">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E22313A">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20C7428F">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17511C2D">
            <w:pPr>
              <w:pStyle w:val="672"/>
              <w:widowControl/>
              <w:spacing w:line="560" w:lineRule="exact"/>
              <w:ind w:firstLine="560"/>
              <w:jc w:val="center"/>
              <w:rPr>
                <w:rFonts w:hint="eastAsia" w:ascii="仿宋" w:hAnsi="仿宋" w:eastAsia="仿宋" w:cs="仿宋"/>
                <w:color w:val="auto"/>
                <w:sz w:val="28"/>
                <w:szCs w:val="28"/>
                <w:highlight w:val="none"/>
              </w:rPr>
            </w:pPr>
          </w:p>
        </w:tc>
      </w:tr>
      <w:tr w14:paraId="74DB2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6BD5B15C">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0020EC3">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9FCF786">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28B0C1B9">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2004A914">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6DD73A0E">
            <w:pPr>
              <w:pStyle w:val="672"/>
              <w:widowControl/>
              <w:spacing w:line="560" w:lineRule="exact"/>
              <w:ind w:firstLine="560"/>
              <w:jc w:val="center"/>
              <w:rPr>
                <w:rFonts w:hint="eastAsia" w:ascii="仿宋" w:hAnsi="仿宋" w:eastAsia="仿宋" w:cs="仿宋"/>
                <w:color w:val="auto"/>
                <w:sz w:val="28"/>
                <w:szCs w:val="28"/>
                <w:highlight w:val="none"/>
              </w:rPr>
            </w:pPr>
          </w:p>
        </w:tc>
      </w:tr>
      <w:tr w14:paraId="20006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16F8E8FB">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60E9F40">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A0051AF">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94A94F1">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1D40D0BF">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5A94F824">
            <w:pPr>
              <w:pStyle w:val="672"/>
              <w:widowControl/>
              <w:spacing w:line="560" w:lineRule="exact"/>
              <w:ind w:firstLine="560"/>
              <w:jc w:val="center"/>
              <w:rPr>
                <w:rFonts w:hint="eastAsia" w:ascii="仿宋" w:hAnsi="仿宋" w:eastAsia="仿宋" w:cs="仿宋"/>
                <w:color w:val="auto"/>
                <w:sz w:val="28"/>
                <w:szCs w:val="28"/>
                <w:highlight w:val="none"/>
              </w:rPr>
            </w:pPr>
          </w:p>
        </w:tc>
      </w:tr>
      <w:tr w14:paraId="31482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4A384E57">
            <w:pPr>
              <w:pStyle w:val="672"/>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D224B80">
            <w:pPr>
              <w:pStyle w:val="114"/>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7B75CEB">
            <w:pPr>
              <w:pStyle w:val="672"/>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3074811C">
            <w:pPr>
              <w:pStyle w:val="672"/>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0089CB91">
            <w:pPr>
              <w:pStyle w:val="672"/>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41533C96">
            <w:pPr>
              <w:pStyle w:val="672"/>
              <w:widowControl/>
              <w:spacing w:line="560" w:lineRule="exact"/>
              <w:ind w:firstLine="560"/>
              <w:jc w:val="center"/>
              <w:rPr>
                <w:rFonts w:hint="eastAsia" w:ascii="仿宋" w:hAnsi="仿宋" w:eastAsia="仿宋" w:cs="仿宋"/>
                <w:color w:val="auto"/>
                <w:sz w:val="28"/>
                <w:szCs w:val="28"/>
                <w:highlight w:val="none"/>
              </w:rPr>
            </w:pPr>
          </w:p>
        </w:tc>
      </w:tr>
    </w:tbl>
    <w:p w14:paraId="383B0C70">
      <w:pPr>
        <w:spacing w:line="480" w:lineRule="exact"/>
        <w:ind w:firstLine="210"/>
        <w:rPr>
          <w:rFonts w:ascii="Times New Roman" w:hAnsi="Times New Roman" w:cs="宋体"/>
          <w:color w:val="auto"/>
          <w:sz w:val="24"/>
          <w:szCs w:val="20"/>
          <w:highlight w:val="none"/>
        </w:rPr>
      </w:pPr>
      <w:r>
        <w:rPr>
          <w:rFonts w:hint="eastAsia" w:ascii="Times New Roman" w:hAnsi="Times New Roman" w:cs="宋体"/>
          <w:color w:val="auto"/>
          <w:sz w:val="24"/>
          <w:szCs w:val="20"/>
          <w:highlight w:val="none"/>
        </w:rPr>
        <w:t>注：如供应商成交，项目组成员必须按本表承诺人员操作，不得随意更换。按采购文件要求附相关人员证书。</w:t>
      </w:r>
      <w:bookmarkStart w:id="108" w:name="_格式2__法定代表人授权书"/>
      <w:bookmarkEnd w:id="108"/>
    </w:p>
    <w:p w14:paraId="4C58EB58">
      <w:pPr>
        <w:ind w:firstLine="210"/>
        <w:rPr>
          <w:rFonts w:hint="eastAsia" w:ascii="仿宋" w:hAnsi="仿宋" w:eastAsia="仿宋" w:cs="仿宋"/>
          <w:color w:val="auto"/>
          <w:szCs w:val="21"/>
          <w:highlight w:val="none"/>
        </w:rPr>
      </w:pPr>
    </w:p>
    <w:p w14:paraId="0A4973D3">
      <w:pPr>
        <w:ind w:firstLine="210"/>
        <w:rPr>
          <w:rFonts w:hint="eastAsia" w:ascii="仿宋" w:hAnsi="仿宋" w:eastAsia="仿宋" w:cs="仿宋"/>
          <w:color w:val="auto"/>
          <w:szCs w:val="21"/>
          <w:highlight w:val="none"/>
        </w:rPr>
      </w:pPr>
    </w:p>
    <w:p w14:paraId="3EED2BDC">
      <w:pPr>
        <w:ind w:firstLine="210"/>
        <w:rPr>
          <w:rFonts w:hint="eastAsia" w:ascii="仿宋" w:hAnsi="仿宋" w:eastAsia="仿宋" w:cs="仿宋"/>
          <w:color w:val="auto"/>
          <w:szCs w:val="21"/>
          <w:highlight w:val="none"/>
        </w:rPr>
      </w:pPr>
    </w:p>
    <w:p w14:paraId="2BB87855">
      <w:pPr>
        <w:ind w:firstLine="210"/>
        <w:rPr>
          <w:rFonts w:hint="eastAsia" w:ascii="仿宋" w:hAnsi="仿宋" w:eastAsia="仿宋" w:cs="仿宋"/>
          <w:color w:val="auto"/>
          <w:szCs w:val="21"/>
          <w:highlight w:val="none"/>
        </w:rPr>
      </w:pPr>
    </w:p>
    <w:p w14:paraId="5EED0D73">
      <w:pPr>
        <w:ind w:firstLine="210"/>
        <w:rPr>
          <w:rFonts w:hint="eastAsia" w:ascii="仿宋" w:hAnsi="仿宋" w:eastAsia="仿宋" w:cs="仿宋"/>
          <w:color w:val="auto"/>
          <w:szCs w:val="21"/>
          <w:highlight w:val="none"/>
        </w:rPr>
      </w:pPr>
    </w:p>
    <w:p w14:paraId="4729D3F0">
      <w:pPr>
        <w:ind w:firstLine="210"/>
        <w:rPr>
          <w:rFonts w:hint="eastAsia" w:ascii="仿宋" w:hAnsi="仿宋" w:eastAsia="仿宋" w:cs="仿宋"/>
          <w:color w:val="auto"/>
          <w:szCs w:val="21"/>
          <w:highlight w:val="none"/>
        </w:rPr>
      </w:pPr>
    </w:p>
    <w:p w14:paraId="2AB46BE4">
      <w:pPr>
        <w:ind w:firstLine="210"/>
        <w:rPr>
          <w:rFonts w:hint="eastAsia" w:ascii="仿宋" w:hAnsi="仿宋" w:eastAsia="仿宋" w:cs="仿宋"/>
          <w:color w:val="auto"/>
          <w:szCs w:val="21"/>
          <w:highlight w:val="none"/>
        </w:rPr>
      </w:pPr>
    </w:p>
    <w:p w14:paraId="669BCB2A">
      <w:pPr>
        <w:ind w:firstLine="210"/>
        <w:rPr>
          <w:rFonts w:hint="eastAsia" w:ascii="仿宋" w:hAnsi="仿宋" w:eastAsia="仿宋" w:cs="仿宋"/>
          <w:color w:val="auto"/>
          <w:szCs w:val="21"/>
          <w:highlight w:val="none"/>
        </w:rPr>
      </w:pPr>
    </w:p>
    <w:p w14:paraId="01CDF316">
      <w:pPr>
        <w:ind w:firstLine="210"/>
        <w:rPr>
          <w:rFonts w:hint="eastAsia" w:ascii="仿宋" w:hAnsi="仿宋" w:eastAsia="仿宋" w:cs="仿宋"/>
          <w:color w:val="auto"/>
          <w:szCs w:val="21"/>
          <w:highlight w:val="none"/>
        </w:rPr>
      </w:pPr>
    </w:p>
    <w:p w14:paraId="54F34AE3">
      <w:pPr>
        <w:ind w:firstLine="210"/>
        <w:rPr>
          <w:rFonts w:hint="eastAsia" w:ascii="仿宋" w:hAnsi="仿宋" w:eastAsia="仿宋" w:cs="仿宋"/>
          <w:color w:val="auto"/>
          <w:szCs w:val="21"/>
          <w:highlight w:val="none"/>
        </w:rPr>
      </w:pPr>
    </w:p>
    <w:p w14:paraId="148CD3A4">
      <w:pPr>
        <w:ind w:firstLine="210"/>
        <w:rPr>
          <w:rFonts w:hint="eastAsia" w:ascii="仿宋" w:hAnsi="仿宋" w:eastAsia="仿宋" w:cs="仿宋"/>
          <w:color w:val="auto"/>
          <w:szCs w:val="21"/>
          <w:highlight w:val="none"/>
        </w:rPr>
      </w:pPr>
    </w:p>
    <w:p w14:paraId="799FF7A4">
      <w:pPr>
        <w:rPr>
          <w:rFonts w:hint="eastAsia" w:ascii="宋体" w:hAnsi="宋体" w:cs="宋体"/>
          <w:b/>
          <w:bCs/>
          <w:color w:val="auto"/>
          <w:sz w:val="32"/>
          <w:szCs w:val="32"/>
          <w:highlight w:val="none"/>
        </w:rPr>
      </w:pPr>
      <w:bookmarkStart w:id="109" w:name="_Toc11176"/>
      <w:r>
        <w:rPr>
          <w:rFonts w:hint="eastAsia" w:ascii="宋体" w:hAnsi="宋体" w:cs="宋体"/>
          <w:b/>
          <w:bCs/>
          <w:color w:val="auto"/>
          <w:sz w:val="32"/>
          <w:szCs w:val="32"/>
          <w:highlight w:val="none"/>
        </w:rPr>
        <w:br w:type="page"/>
      </w:r>
    </w:p>
    <w:p w14:paraId="08EC5035">
      <w:pPr>
        <w:pStyle w:val="3"/>
        <w:spacing w:before="0" w:after="0" w:line="520" w:lineRule="exact"/>
        <w:ind w:firstLine="320" w:firstLineChars="1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九、</w:t>
      </w:r>
      <w:bookmarkEnd w:id="109"/>
      <w:r>
        <w:rPr>
          <w:rFonts w:hint="eastAsia" w:ascii="黑体" w:hAnsi="黑体" w:eastAsia="黑体" w:cs="黑体"/>
          <w:b w:val="0"/>
          <w:bCs w:val="0"/>
          <w:color w:val="auto"/>
          <w:sz w:val="32"/>
          <w:highlight w:val="none"/>
        </w:rPr>
        <w:t>企业业绩</w:t>
      </w:r>
    </w:p>
    <w:p w14:paraId="569BBE37">
      <w:pPr>
        <w:pStyle w:val="636"/>
        <w:jc w:val="center"/>
        <w:rPr>
          <w:rFonts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供应商自</w:t>
      </w:r>
      <w:r>
        <w:rPr>
          <w:rFonts w:hint="eastAsia" w:ascii="方正小标宋_GBK" w:eastAsia="方正小标宋_GBK"/>
          <w:bCs/>
          <w:color w:val="auto"/>
          <w:sz w:val="32"/>
          <w:szCs w:val="32"/>
          <w:highlight w:val="none"/>
          <w:u w:val="single"/>
        </w:rPr>
        <w:t xml:space="preserve"> </w:t>
      </w:r>
      <w:r>
        <w:rPr>
          <w:rFonts w:hint="eastAsia" w:ascii="方正小标宋_GBK" w:eastAsia="方正小标宋_GBK"/>
          <w:bCs/>
          <w:color w:val="auto"/>
          <w:sz w:val="32"/>
          <w:szCs w:val="32"/>
          <w:highlight w:val="none"/>
        </w:rPr>
        <w:t>年</w:t>
      </w:r>
      <w:r>
        <w:rPr>
          <w:rFonts w:hint="eastAsia" w:ascii="方正小标宋_GBK" w:eastAsia="方正小标宋_GBK"/>
          <w:bCs/>
          <w:color w:val="auto"/>
          <w:sz w:val="32"/>
          <w:szCs w:val="32"/>
          <w:highlight w:val="none"/>
          <w:u w:val="single"/>
        </w:rPr>
        <w:t xml:space="preserve"> </w:t>
      </w:r>
      <w:r>
        <w:rPr>
          <w:rFonts w:hint="eastAsia" w:ascii="方正小标宋_GBK" w:eastAsia="方正小标宋_GBK"/>
          <w:bCs/>
          <w:color w:val="auto"/>
          <w:sz w:val="32"/>
          <w:szCs w:val="32"/>
          <w:highlight w:val="none"/>
          <w:lang w:val="en-US" w:eastAsia="zh-CN"/>
        </w:rPr>
        <w:t>月</w:t>
      </w:r>
      <w:r>
        <w:rPr>
          <w:rFonts w:hint="eastAsia" w:ascii="方正小标宋_GBK" w:eastAsia="方正小标宋_GBK"/>
          <w:bCs/>
          <w:color w:val="auto"/>
          <w:sz w:val="32"/>
          <w:szCs w:val="32"/>
          <w:highlight w:val="none"/>
          <w:u w:val="single"/>
          <w:lang w:val="en-US" w:eastAsia="zh-CN"/>
        </w:rPr>
        <w:t xml:space="preserve"> </w:t>
      </w:r>
      <w:r>
        <w:rPr>
          <w:rFonts w:hint="eastAsia" w:ascii="方正小标宋_GBK" w:eastAsia="方正小标宋_GBK"/>
          <w:bCs/>
          <w:color w:val="auto"/>
          <w:sz w:val="32"/>
          <w:szCs w:val="32"/>
          <w:highlight w:val="none"/>
          <w:lang w:val="en-US" w:eastAsia="zh-CN"/>
        </w:rPr>
        <w:t>日</w:t>
      </w:r>
      <w:r>
        <w:rPr>
          <w:rFonts w:hint="eastAsia" w:ascii="方正小标宋_GBK" w:eastAsia="方正小标宋_GBK"/>
          <w:bCs/>
          <w:color w:val="auto"/>
          <w:sz w:val="32"/>
          <w:szCs w:val="32"/>
          <w:highlight w:val="none"/>
        </w:rPr>
        <w:t>以来承担</w:t>
      </w:r>
    </w:p>
    <w:p w14:paraId="6CCDBE05">
      <w:pPr>
        <w:pStyle w:val="636"/>
        <w:jc w:val="center"/>
        <w:rPr>
          <w:rFonts w:hint="eastAsia"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类似项目业绩一览表</w:t>
      </w:r>
    </w:p>
    <w:tbl>
      <w:tblPr>
        <w:tblStyle w:val="41"/>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827"/>
        <w:gridCol w:w="2433"/>
        <w:gridCol w:w="1395"/>
      </w:tblGrid>
      <w:tr w14:paraId="12C0A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29" w:type="dxa"/>
          </w:tcPr>
          <w:p w14:paraId="2BFFAB92">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序号</w:t>
            </w:r>
          </w:p>
        </w:tc>
        <w:tc>
          <w:tcPr>
            <w:tcW w:w="3827" w:type="dxa"/>
            <w:vAlign w:val="center"/>
          </w:tcPr>
          <w:p w14:paraId="0A65CD4B">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项目名称</w:t>
            </w:r>
          </w:p>
        </w:tc>
        <w:tc>
          <w:tcPr>
            <w:tcW w:w="2433" w:type="dxa"/>
            <w:vAlign w:val="center"/>
          </w:tcPr>
          <w:p w14:paraId="7E817422">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采购单位</w:t>
            </w:r>
          </w:p>
        </w:tc>
        <w:tc>
          <w:tcPr>
            <w:tcW w:w="1395" w:type="dxa"/>
            <w:vAlign w:val="center"/>
          </w:tcPr>
          <w:p w14:paraId="47513DE7">
            <w:pPr>
              <w:pStyle w:val="673"/>
              <w:spacing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合同金额</w:t>
            </w:r>
          </w:p>
        </w:tc>
      </w:tr>
      <w:tr w14:paraId="350C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033A4046">
            <w:pPr>
              <w:pStyle w:val="673"/>
              <w:spacing w:line="560" w:lineRule="exact"/>
              <w:jc w:val="center"/>
              <w:rPr>
                <w:rFonts w:hint="eastAsia" w:ascii="仿宋" w:hAnsi="仿宋" w:eastAsia="仿宋" w:cs="仿宋"/>
                <w:color w:val="auto"/>
                <w:sz w:val="28"/>
                <w:highlight w:val="none"/>
              </w:rPr>
            </w:pPr>
          </w:p>
        </w:tc>
        <w:tc>
          <w:tcPr>
            <w:tcW w:w="3827" w:type="dxa"/>
            <w:vAlign w:val="center"/>
          </w:tcPr>
          <w:p w14:paraId="6CC067E9">
            <w:pPr>
              <w:pStyle w:val="673"/>
              <w:spacing w:line="560" w:lineRule="exact"/>
              <w:jc w:val="center"/>
              <w:rPr>
                <w:rFonts w:hint="eastAsia" w:ascii="仿宋" w:hAnsi="仿宋" w:eastAsia="仿宋" w:cs="仿宋"/>
                <w:color w:val="auto"/>
                <w:sz w:val="28"/>
                <w:highlight w:val="none"/>
              </w:rPr>
            </w:pPr>
          </w:p>
        </w:tc>
        <w:tc>
          <w:tcPr>
            <w:tcW w:w="2433" w:type="dxa"/>
            <w:vAlign w:val="center"/>
          </w:tcPr>
          <w:p w14:paraId="2C5F557A">
            <w:pPr>
              <w:pStyle w:val="673"/>
              <w:spacing w:line="560" w:lineRule="exact"/>
              <w:jc w:val="center"/>
              <w:rPr>
                <w:rFonts w:hint="eastAsia" w:ascii="仿宋" w:hAnsi="仿宋" w:eastAsia="仿宋" w:cs="仿宋"/>
                <w:color w:val="auto"/>
                <w:sz w:val="28"/>
                <w:highlight w:val="none"/>
              </w:rPr>
            </w:pPr>
          </w:p>
        </w:tc>
        <w:tc>
          <w:tcPr>
            <w:tcW w:w="1395" w:type="dxa"/>
            <w:vAlign w:val="center"/>
          </w:tcPr>
          <w:p w14:paraId="605EEF3A">
            <w:pPr>
              <w:pStyle w:val="673"/>
              <w:spacing w:line="560" w:lineRule="exact"/>
              <w:jc w:val="center"/>
              <w:rPr>
                <w:rFonts w:hint="eastAsia" w:ascii="仿宋" w:hAnsi="仿宋" w:eastAsia="仿宋" w:cs="仿宋"/>
                <w:color w:val="auto"/>
                <w:sz w:val="28"/>
                <w:highlight w:val="none"/>
              </w:rPr>
            </w:pPr>
          </w:p>
        </w:tc>
      </w:tr>
      <w:tr w14:paraId="3468F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39304626">
            <w:pPr>
              <w:pStyle w:val="673"/>
              <w:spacing w:line="560" w:lineRule="exact"/>
              <w:jc w:val="center"/>
              <w:rPr>
                <w:rFonts w:hint="eastAsia" w:ascii="仿宋" w:hAnsi="仿宋" w:eastAsia="仿宋" w:cs="仿宋"/>
                <w:color w:val="auto"/>
                <w:sz w:val="28"/>
                <w:highlight w:val="none"/>
              </w:rPr>
            </w:pPr>
          </w:p>
        </w:tc>
        <w:tc>
          <w:tcPr>
            <w:tcW w:w="3827" w:type="dxa"/>
            <w:vAlign w:val="center"/>
          </w:tcPr>
          <w:p w14:paraId="0BFFFD78">
            <w:pPr>
              <w:pStyle w:val="673"/>
              <w:spacing w:line="560" w:lineRule="exact"/>
              <w:jc w:val="center"/>
              <w:rPr>
                <w:rFonts w:hint="eastAsia" w:ascii="仿宋" w:hAnsi="仿宋" w:eastAsia="仿宋" w:cs="仿宋"/>
                <w:color w:val="auto"/>
                <w:sz w:val="28"/>
                <w:highlight w:val="none"/>
              </w:rPr>
            </w:pPr>
          </w:p>
        </w:tc>
        <w:tc>
          <w:tcPr>
            <w:tcW w:w="2433" w:type="dxa"/>
            <w:vAlign w:val="center"/>
          </w:tcPr>
          <w:p w14:paraId="76AB9A04">
            <w:pPr>
              <w:pStyle w:val="673"/>
              <w:spacing w:line="560" w:lineRule="exact"/>
              <w:jc w:val="center"/>
              <w:rPr>
                <w:rFonts w:hint="eastAsia" w:ascii="仿宋" w:hAnsi="仿宋" w:eastAsia="仿宋" w:cs="仿宋"/>
                <w:color w:val="auto"/>
                <w:sz w:val="28"/>
                <w:highlight w:val="none"/>
              </w:rPr>
            </w:pPr>
          </w:p>
        </w:tc>
        <w:tc>
          <w:tcPr>
            <w:tcW w:w="1395" w:type="dxa"/>
            <w:vAlign w:val="center"/>
          </w:tcPr>
          <w:p w14:paraId="304078DA">
            <w:pPr>
              <w:pStyle w:val="673"/>
              <w:spacing w:line="560" w:lineRule="exact"/>
              <w:jc w:val="center"/>
              <w:rPr>
                <w:rFonts w:hint="eastAsia" w:ascii="仿宋" w:hAnsi="仿宋" w:eastAsia="仿宋" w:cs="仿宋"/>
                <w:color w:val="auto"/>
                <w:sz w:val="28"/>
                <w:highlight w:val="none"/>
              </w:rPr>
            </w:pPr>
          </w:p>
        </w:tc>
      </w:tr>
      <w:tr w14:paraId="1488C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3AEB6939">
            <w:pPr>
              <w:pStyle w:val="673"/>
              <w:spacing w:line="560" w:lineRule="exact"/>
              <w:jc w:val="center"/>
              <w:rPr>
                <w:rFonts w:hint="eastAsia" w:ascii="仿宋" w:hAnsi="仿宋" w:eastAsia="仿宋" w:cs="仿宋"/>
                <w:color w:val="auto"/>
                <w:sz w:val="28"/>
                <w:highlight w:val="none"/>
              </w:rPr>
            </w:pPr>
          </w:p>
        </w:tc>
        <w:tc>
          <w:tcPr>
            <w:tcW w:w="3827" w:type="dxa"/>
            <w:vAlign w:val="center"/>
          </w:tcPr>
          <w:p w14:paraId="743092FC">
            <w:pPr>
              <w:pStyle w:val="673"/>
              <w:spacing w:line="560" w:lineRule="exact"/>
              <w:jc w:val="center"/>
              <w:rPr>
                <w:rFonts w:hint="eastAsia" w:ascii="仿宋" w:hAnsi="仿宋" w:eastAsia="仿宋" w:cs="仿宋"/>
                <w:color w:val="auto"/>
                <w:sz w:val="28"/>
                <w:highlight w:val="none"/>
              </w:rPr>
            </w:pPr>
          </w:p>
        </w:tc>
        <w:tc>
          <w:tcPr>
            <w:tcW w:w="2433" w:type="dxa"/>
            <w:vAlign w:val="center"/>
          </w:tcPr>
          <w:p w14:paraId="0683C13D">
            <w:pPr>
              <w:pStyle w:val="673"/>
              <w:spacing w:line="560" w:lineRule="exact"/>
              <w:jc w:val="center"/>
              <w:rPr>
                <w:rFonts w:hint="eastAsia" w:ascii="仿宋" w:hAnsi="仿宋" w:eastAsia="仿宋" w:cs="仿宋"/>
                <w:color w:val="auto"/>
                <w:sz w:val="28"/>
                <w:highlight w:val="none"/>
              </w:rPr>
            </w:pPr>
          </w:p>
        </w:tc>
        <w:tc>
          <w:tcPr>
            <w:tcW w:w="1395" w:type="dxa"/>
            <w:vAlign w:val="center"/>
          </w:tcPr>
          <w:p w14:paraId="07990606">
            <w:pPr>
              <w:pStyle w:val="673"/>
              <w:spacing w:line="560" w:lineRule="exact"/>
              <w:jc w:val="center"/>
              <w:rPr>
                <w:rFonts w:hint="eastAsia" w:ascii="仿宋" w:hAnsi="仿宋" w:eastAsia="仿宋" w:cs="仿宋"/>
                <w:color w:val="auto"/>
                <w:sz w:val="28"/>
                <w:highlight w:val="none"/>
              </w:rPr>
            </w:pPr>
          </w:p>
        </w:tc>
      </w:tr>
      <w:tr w14:paraId="38048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tcPr>
          <w:p w14:paraId="5DF5EE7D">
            <w:pPr>
              <w:pStyle w:val="673"/>
              <w:spacing w:line="560" w:lineRule="exact"/>
              <w:jc w:val="center"/>
              <w:rPr>
                <w:rFonts w:hint="eastAsia" w:ascii="仿宋" w:hAnsi="仿宋" w:eastAsia="仿宋" w:cs="仿宋"/>
                <w:color w:val="auto"/>
                <w:sz w:val="28"/>
                <w:highlight w:val="none"/>
              </w:rPr>
            </w:pPr>
          </w:p>
        </w:tc>
        <w:tc>
          <w:tcPr>
            <w:tcW w:w="3827" w:type="dxa"/>
            <w:vAlign w:val="center"/>
          </w:tcPr>
          <w:p w14:paraId="3ECB09D3">
            <w:pPr>
              <w:pStyle w:val="673"/>
              <w:spacing w:line="560" w:lineRule="exact"/>
              <w:jc w:val="center"/>
              <w:rPr>
                <w:rFonts w:hint="eastAsia" w:ascii="仿宋" w:hAnsi="仿宋" w:eastAsia="仿宋" w:cs="仿宋"/>
                <w:color w:val="auto"/>
                <w:sz w:val="28"/>
                <w:highlight w:val="none"/>
              </w:rPr>
            </w:pPr>
          </w:p>
        </w:tc>
        <w:tc>
          <w:tcPr>
            <w:tcW w:w="2433" w:type="dxa"/>
            <w:vAlign w:val="center"/>
          </w:tcPr>
          <w:p w14:paraId="0E44CA62">
            <w:pPr>
              <w:pStyle w:val="673"/>
              <w:spacing w:line="560" w:lineRule="exact"/>
              <w:jc w:val="center"/>
              <w:rPr>
                <w:rFonts w:hint="eastAsia" w:ascii="仿宋" w:hAnsi="仿宋" w:eastAsia="仿宋" w:cs="仿宋"/>
                <w:color w:val="auto"/>
                <w:sz w:val="28"/>
                <w:highlight w:val="none"/>
              </w:rPr>
            </w:pPr>
          </w:p>
        </w:tc>
        <w:tc>
          <w:tcPr>
            <w:tcW w:w="1395" w:type="dxa"/>
            <w:vAlign w:val="center"/>
          </w:tcPr>
          <w:p w14:paraId="0014C635">
            <w:pPr>
              <w:pStyle w:val="673"/>
              <w:spacing w:line="560" w:lineRule="exact"/>
              <w:jc w:val="center"/>
              <w:rPr>
                <w:rFonts w:hint="eastAsia" w:ascii="仿宋" w:hAnsi="仿宋" w:eastAsia="仿宋" w:cs="仿宋"/>
                <w:color w:val="auto"/>
                <w:sz w:val="28"/>
                <w:highlight w:val="none"/>
              </w:rPr>
            </w:pPr>
          </w:p>
        </w:tc>
      </w:tr>
    </w:tbl>
    <w:p w14:paraId="218175AC">
      <w:pPr>
        <w:pStyle w:val="636"/>
        <w:ind w:firstLine="480" w:firstLineChars="200"/>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注：请填写此表，并按要求上传业绩资料电子件。</w:t>
      </w:r>
    </w:p>
    <w:p w14:paraId="7E8C0705">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clear="all"/>
      </w:r>
    </w:p>
    <w:p w14:paraId="5CF64C37">
      <w:pPr>
        <w:pStyle w:val="3"/>
        <w:spacing w:before="0" w:after="0" w:line="520" w:lineRule="exact"/>
        <w:ind w:firstLine="320" w:firstLineChars="100"/>
        <w:rPr>
          <w:rFonts w:hint="eastAsia" w:ascii="黑体" w:hAnsi="黑体" w:eastAsia="黑体" w:cs="黑体"/>
          <w:b w:val="0"/>
          <w:bCs w:val="0"/>
          <w:color w:val="auto"/>
          <w:sz w:val="32"/>
          <w:highlight w:val="none"/>
        </w:rPr>
      </w:pPr>
      <w:bookmarkStart w:id="110" w:name="_Toc28140"/>
      <w:r>
        <w:rPr>
          <w:rFonts w:hint="eastAsia" w:ascii="黑体" w:hAnsi="黑体" w:eastAsia="黑体" w:cs="黑体"/>
          <w:b w:val="0"/>
          <w:bCs w:val="0"/>
          <w:color w:val="auto"/>
          <w:sz w:val="32"/>
          <w:highlight w:val="none"/>
        </w:rPr>
        <w:t>十、磋商所需其他材料</w:t>
      </w:r>
      <w:bookmarkEnd w:id="110"/>
    </w:p>
    <w:p w14:paraId="36182260">
      <w:pPr>
        <w:pStyle w:val="638"/>
        <w:spacing w:line="360" w:lineRule="auto"/>
        <w:ind w:firstLine="560"/>
        <w:rPr>
          <w:rFonts w:ascii="仿宋" w:hAnsi="仿宋" w:cs="仿宋"/>
          <w:color w:val="auto"/>
          <w:sz w:val="28"/>
          <w:szCs w:val="28"/>
          <w:highlight w:val="none"/>
        </w:rPr>
      </w:pPr>
    </w:p>
    <w:p w14:paraId="6FD6CE7E">
      <w:pPr>
        <w:pStyle w:val="638"/>
        <w:spacing w:line="360" w:lineRule="auto"/>
        <w:ind w:firstLine="560"/>
        <w:rPr>
          <w:rFonts w:hint="eastAsia" w:ascii="仿宋" w:hAnsi="仿宋" w:cs="仿宋"/>
          <w:color w:val="auto"/>
          <w:sz w:val="28"/>
          <w:szCs w:val="28"/>
          <w:highlight w:val="none"/>
        </w:rPr>
      </w:pPr>
      <w:r>
        <w:rPr>
          <w:rFonts w:hint="eastAsia" w:ascii="仿宋" w:hAnsi="仿宋" w:cs="仿宋"/>
          <w:color w:val="auto"/>
          <w:sz w:val="28"/>
          <w:szCs w:val="28"/>
          <w:highlight w:val="none"/>
        </w:rPr>
        <w:t>请在此文档中增加磋商所需其他相关内容（包括资格要求、评分办法、采购需求中涉及的证件证明及其它供应商认为有必要提供的资料），如没有请将此空文档上传。</w:t>
      </w:r>
    </w:p>
    <w:p w14:paraId="1EBCA2EC">
      <w:pPr>
        <w:rPr>
          <w:rFonts w:hint="eastAsia" w:ascii="仿宋" w:hAnsi="仿宋" w:eastAsia="仿宋" w:cs="仿宋"/>
          <w:color w:val="auto"/>
          <w:sz w:val="40"/>
          <w:highlight w:val="none"/>
        </w:rPr>
      </w:pPr>
    </w:p>
    <w:sectPr>
      <w:footerReference r:id="rId5" w:type="default"/>
      <w:pgSz w:w="11906" w:h="16838"/>
      <w:pgMar w:top="1440" w:right="1417" w:bottom="1440" w:left="141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Kingsoft Phonetic Plain">
    <w:altName w:val="DejaVu Math TeX Gyre"/>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Helvetica">
    <w:altName w:val="Arial"/>
    <w:panose1 w:val="020B0604020202020204"/>
    <w:charset w:val="00"/>
    <w:family w:val="auto"/>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Helvetica-Light">
    <w:altName w:val="DejaVu Math TeX Gyre"/>
    <w:panose1 w:val="00000000000000000000"/>
    <w:charset w:val="0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F49A">
    <w:pPr>
      <w:pStyle w:val="28"/>
      <w:tabs>
        <w:tab w:val="center" w:pos="4153"/>
        <w:tab w:val="right" w:pos="8306"/>
        <w:tab w:val="clear" w:pos="7143"/>
        <w:tab w:val="clear" w:pos="14287"/>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-141605</wp:posOffset>
              </wp:positionV>
              <wp:extent cx="708660" cy="271780"/>
              <wp:effectExtent l="0" t="0" r="0" b="0"/>
              <wp:wrapNone/>
              <wp:docPr id="1" name="文本框 9"/>
              <wp:cNvGraphicFramePr/>
              <a:graphic xmlns:a="http://schemas.openxmlformats.org/drawingml/2006/main">
                <a:graphicData uri="http://schemas.microsoft.com/office/word/2010/wordprocessingShape">
                  <wps:wsp>
                    <wps:cNvSpPr txBox="1"/>
                    <wps:spPr>
                      <a:xfrm>
                        <a:off x="0" y="0"/>
                        <a:ext cx="708660" cy="271780"/>
                      </a:xfrm>
                      <a:prstGeom prst="rect">
                        <a:avLst/>
                      </a:prstGeom>
                      <a:noFill/>
                      <a:ln>
                        <a:noFill/>
                      </a:ln>
                    </wps:spPr>
                    <wps:txbx>
                      <w:txbxContent>
                        <w:p w14:paraId="4106CD71">
                          <w:pPr>
                            <w:pStyle w:val="28"/>
                            <w:jc w:val="center"/>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10</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wps:txbx>
                    <wps:bodyPr lIns="0" tIns="0" rIns="0" bIns="0" upright="1"/>
                  </wps:wsp>
                </a:graphicData>
              </a:graphic>
            </wp:anchor>
          </w:drawing>
        </mc:Choice>
        <mc:Fallback>
          <w:pict>
            <v:shape id="文本框 9" o:spid="_x0000_s1026" o:spt="202" type="#_x0000_t202" style="position:absolute;left:0pt;margin-top:-11.15pt;height:21.4pt;width:55.8pt;mso-position-horizontal:center;mso-position-horizontal-relative:margin;z-index:251661312;mso-width-relative:page;mso-height-relative:page;" filled="f" stroked="f" coordsize="21600,21600" o:gfxdata="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kg2JzWAAAABwEAAA8AAAAAAAAAAQAgAAAAIgAAAGRycy9kb3ducmV2LnhtbFBLAQIUABQA&#10;AAAIAIdO4kD0rY0WuQEAAHEDAAAOAAAAAAAAAAEAIAAAACUBAABkcnMvZTJvRG9jLnhtbFBLBQYA&#10;AAAABgAGAFkBAABQBQAAAAA=&#10;">
              <v:fill on="f" focussize="0,0"/>
              <v:stroke on="f"/>
              <v:imagedata o:title=""/>
              <o:lock v:ext="edit" aspectratio="f"/>
              <v:textbox inset="0mm,0mm,0mm,0mm">
                <w:txbxContent>
                  <w:p w14:paraId="4106CD71">
                    <w:pPr>
                      <w:pStyle w:val="28"/>
                      <w:jc w:val="center"/>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10</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6DFD">
    <w:pPr>
      <w:pStyle w:val="28"/>
      <w:tabs>
        <w:tab w:val="center" w:pos="4153"/>
        <w:tab w:val="right" w:pos="8306"/>
        <w:tab w:val="clear" w:pos="7143"/>
        <w:tab w:val="clear" w:pos="14287"/>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-141605</wp:posOffset>
              </wp:positionV>
              <wp:extent cx="709930" cy="32004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709930" cy="320040"/>
                      </a:xfrm>
                      <a:prstGeom prst="rect">
                        <a:avLst/>
                      </a:prstGeom>
                      <a:noFill/>
                      <a:ln>
                        <a:noFill/>
                      </a:ln>
                    </wps:spPr>
                    <wps:txbx>
                      <w:txbxContent>
                        <w:p w14:paraId="682130D5">
                          <w:pPr>
                            <w:pStyle w:val="28"/>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wps:txbx>
                    <wps:bodyPr lIns="0" tIns="0" rIns="0" bIns="0" upright="1"/>
                  </wps:wsp>
                </a:graphicData>
              </a:graphic>
            </wp:anchor>
          </w:drawing>
        </mc:Choice>
        <mc:Fallback>
          <w:pict>
            <v:shape id="文本框 10" o:spid="_x0000_s1026" o:spt="202" type="#_x0000_t202" style="position:absolute;left:0pt;margin-top:-11.15pt;height:25.2pt;width:55.9pt;mso-position-horizontal:center;mso-position-horizontal-relative:margin;z-index:251662336;mso-width-relative:page;mso-height-relative:page;" filled="f" stroked="f" coordsize="21600,21600" o:gfxdata="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RwsJbWAAAABwEAAA8AAAAAAAAAAQAgAAAAIgAAAGRycy9kb3ducmV2LnhtbFBLAQIUABQA&#10;AAAIAIdO4kA4f47guQEAAHIDAAAOAAAAAAAAAAEAIAAAACUBAABkcnMvZTJvRG9jLnhtbFBLBQYA&#10;AAAABgAGAFkBAABQBQAAAAA=&#10;">
              <v:fill on="f" focussize="0,0"/>
              <v:stroke on="f"/>
              <v:imagedata o:title=""/>
              <o:lock v:ext="edit" aspectratio="f"/>
              <v:textbox inset="0mm,0mm,0mm,0mm">
                <w:txbxContent>
                  <w:p w14:paraId="682130D5">
                    <w:pPr>
                      <w:pStyle w:val="28"/>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2016B">
    <w:pPr>
      <w:pStyle w:val="2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-141605</wp:posOffset>
              </wp:positionV>
              <wp:extent cx="825500" cy="296545"/>
              <wp:effectExtent l="0" t="0" r="0" b="0"/>
              <wp:wrapNone/>
              <wp:docPr id="4" name="文本框 12"/>
              <wp:cNvGraphicFramePr/>
              <a:graphic xmlns:a="http://schemas.openxmlformats.org/drawingml/2006/main">
                <a:graphicData uri="http://schemas.microsoft.com/office/word/2010/wordprocessingShape">
                  <wps:wsp>
                    <wps:cNvSpPr txBox="1"/>
                    <wps:spPr>
                      <a:xfrm>
                        <a:off x="0" y="0"/>
                        <a:ext cx="825500" cy="296545"/>
                      </a:xfrm>
                      <a:prstGeom prst="rect">
                        <a:avLst/>
                      </a:prstGeom>
                      <a:noFill/>
                      <a:ln>
                        <a:noFill/>
                      </a:ln>
                    </wps:spPr>
                    <wps:txbx>
                      <w:txbxContent>
                        <w:p w14:paraId="1A6BE7D1">
                          <w:pPr>
                            <w:pStyle w:val="28"/>
                            <w:jc w:val="center"/>
                          </w:pPr>
                          <w:r>
                            <w:rPr>
                              <w:rFonts w:ascii="Times New Roman" w:hAnsi="Times New Roman"/>
                              <w:sz w:val="32"/>
                              <w:szCs w:val="36"/>
                            </w:rPr>
                            <w:t>—</w:t>
                          </w:r>
                          <w:r>
                            <w:rPr>
                              <w:rFonts w:hint="eastAsia" w:ascii="Times New Roman" w:hAnsi="Times New Roman"/>
                              <w:sz w:val="32"/>
                              <w:szCs w:val="36"/>
                            </w:rPr>
                            <w:t xml:space="preserve"> </w:t>
                          </w:r>
                          <w:r>
                            <w:rPr>
                              <w:rFonts w:ascii="Times New Roman" w:hAnsi="Times New Roman"/>
                              <w:sz w:val="32"/>
                              <w:szCs w:val="36"/>
                            </w:rPr>
                            <w:fldChar w:fldCharType="begin"/>
                          </w:r>
                          <w:r>
                            <w:rPr>
                              <w:rFonts w:ascii="Times New Roman" w:hAnsi="Times New Roman"/>
                              <w:sz w:val="32"/>
                              <w:szCs w:val="36"/>
                            </w:rPr>
                            <w:instrText xml:space="preserve"> PAGE  \* MERGEFORMAT </w:instrText>
                          </w:r>
                          <w:r>
                            <w:rPr>
                              <w:rFonts w:ascii="Times New Roman" w:hAnsi="Times New Roman"/>
                              <w:sz w:val="32"/>
                              <w:szCs w:val="36"/>
                            </w:rPr>
                            <w:fldChar w:fldCharType="separate"/>
                          </w:r>
                          <w:r>
                            <w:rPr>
                              <w:rFonts w:ascii="Times New Roman" w:hAnsi="Times New Roman"/>
                              <w:sz w:val="32"/>
                              <w:szCs w:val="36"/>
                            </w:rPr>
                            <w:t>10</w:t>
                          </w:r>
                          <w:r>
                            <w:rPr>
                              <w:rFonts w:ascii="Times New Roman" w:hAnsi="Times New Roman"/>
                              <w:sz w:val="32"/>
                              <w:szCs w:val="36"/>
                            </w:rPr>
                            <w:fldChar w:fldCharType="end"/>
                          </w:r>
                          <w:r>
                            <w:rPr>
                              <w:rFonts w:hint="eastAsia" w:ascii="Times New Roman" w:hAnsi="Times New Roman"/>
                              <w:sz w:val="32"/>
                              <w:szCs w:val="36"/>
                            </w:rPr>
                            <w:t xml:space="preserve"> </w:t>
                          </w:r>
                          <w:r>
                            <w:rPr>
                              <w:rFonts w:ascii="Times New Roman" w:hAnsi="Times New Roman"/>
                              <w:sz w:val="32"/>
                              <w:szCs w:val="36"/>
                            </w:rPr>
                            <w:t>—</w:t>
                          </w:r>
                        </w:p>
                      </w:txbxContent>
                    </wps:txbx>
                    <wps:bodyPr lIns="0" tIns="0" rIns="0" bIns="0" upright="1"/>
                  </wps:wsp>
                </a:graphicData>
              </a:graphic>
            </wp:anchor>
          </w:drawing>
        </mc:Choice>
        <mc:Fallback>
          <w:pict>
            <v:shape id="文本框 12" o:spid="_x0000_s1026" o:spt="202" type="#_x0000_t202" style="position:absolute;left:0pt;margin-top:-11.15pt;height:23.35pt;width:65pt;mso-position-horizontal:center;mso-position-horizontal-relative:margin;z-index:251663360;mso-width-relative:page;mso-height-relative:page;" filled="f" stroked="f" coordsize="21600,21600" o:gfxdata="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lk0ftYAAAAHAQAADwAAAAAAAAABACAAAAAiAAAAZHJzL2Rvd25yZXYueG1sUEsBAhQA&#10;FAAAAAgAh07iQA2Zdue7AQAAcgMAAA4AAAAAAAAAAQAgAAAAJQEAAGRycy9lMm9Eb2MueG1sUEsF&#10;BgAAAAAGAAYAWQEAAFIFAAAAAA==&#10;">
              <v:fill on="f" focussize="0,0"/>
              <v:stroke on="f"/>
              <v:imagedata o:title=""/>
              <o:lock v:ext="edit" aspectratio="f"/>
              <v:textbox inset="0mm,0mm,0mm,0mm">
                <w:txbxContent>
                  <w:p w14:paraId="1A6BE7D1">
                    <w:pPr>
                      <w:pStyle w:val="28"/>
                      <w:jc w:val="center"/>
                    </w:pPr>
                    <w:r>
                      <w:rPr>
                        <w:rFonts w:ascii="Times New Roman" w:hAnsi="Times New Roman"/>
                        <w:sz w:val="32"/>
                        <w:szCs w:val="36"/>
                      </w:rPr>
                      <w:t>—</w:t>
                    </w:r>
                    <w:r>
                      <w:rPr>
                        <w:rFonts w:hint="eastAsia" w:ascii="Times New Roman" w:hAnsi="Times New Roman"/>
                        <w:sz w:val="32"/>
                        <w:szCs w:val="36"/>
                      </w:rPr>
                      <w:t xml:space="preserve"> </w:t>
                    </w:r>
                    <w:r>
                      <w:rPr>
                        <w:rFonts w:ascii="Times New Roman" w:hAnsi="Times New Roman"/>
                        <w:sz w:val="32"/>
                        <w:szCs w:val="36"/>
                      </w:rPr>
                      <w:fldChar w:fldCharType="begin"/>
                    </w:r>
                    <w:r>
                      <w:rPr>
                        <w:rFonts w:ascii="Times New Roman" w:hAnsi="Times New Roman"/>
                        <w:sz w:val="32"/>
                        <w:szCs w:val="36"/>
                      </w:rPr>
                      <w:instrText xml:space="preserve"> PAGE  \* MERGEFORMAT </w:instrText>
                    </w:r>
                    <w:r>
                      <w:rPr>
                        <w:rFonts w:ascii="Times New Roman" w:hAnsi="Times New Roman"/>
                        <w:sz w:val="32"/>
                        <w:szCs w:val="36"/>
                      </w:rPr>
                      <w:fldChar w:fldCharType="separate"/>
                    </w:r>
                    <w:r>
                      <w:rPr>
                        <w:rFonts w:ascii="Times New Roman" w:hAnsi="Times New Roman"/>
                        <w:sz w:val="32"/>
                        <w:szCs w:val="36"/>
                      </w:rPr>
                      <w:t>10</w:t>
                    </w:r>
                    <w:r>
                      <w:rPr>
                        <w:rFonts w:ascii="Times New Roman" w:hAnsi="Times New Roman"/>
                        <w:sz w:val="32"/>
                        <w:szCs w:val="36"/>
                      </w:rPr>
                      <w:fldChar w:fldCharType="end"/>
                    </w:r>
                    <w:r>
                      <w:rPr>
                        <w:rFonts w:hint="eastAsia" w:ascii="Times New Roman" w:hAnsi="Times New Roman"/>
                        <w:sz w:val="32"/>
                        <w:szCs w:val="36"/>
                      </w:rPr>
                      <w:t xml:space="preserve"> </w:t>
                    </w:r>
                    <w:r>
                      <w:rPr>
                        <w:rFonts w:ascii="Times New Roman" w:hAnsi="Times New Roman"/>
                        <w:sz w:val="32"/>
                        <w:szCs w:val="36"/>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2573020</wp:posOffset>
              </wp:positionH>
              <wp:positionV relativeFrom="paragraph">
                <wp:posOffset>-106045</wp:posOffset>
              </wp:positionV>
              <wp:extent cx="668655" cy="266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68655" cy="266700"/>
                      </a:xfrm>
                      <a:prstGeom prst="rect">
                        <a:avLst/>
                      </a:prstGeom>
                      <a:noFill/>
                      <a:ln w="6350">
                        <a:noFill/>
                      </a:ln>
                      <a:effectLst/>
                    </wps:spPr>
                    <wps:txbx>
                      <w:txbxContent>
                        <w:p w14:paraId="46BC12D4">
                          <w:pPr>
                            <w:pStyle w:val="28"/>
                            <w:rPr>
                              <w:rFonts w:ascii="Times New Roman" w:hAnsi="Times New Roman"/>
                              <w:sz w:val="32"/>
                              <w:szCs w:val="3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6pt;margin-top:-8.35pt;height:21pt;width:52.65pt;mso-position-horizontal-relative:margin;z-index:251659264;mso-width-relative:page;mso-height-relative:page;" filled="f" stroked="f" coordsize="21600,21600" o:gfxdata="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dzAxjZAAAACgEAAA8AAAAAAAAAAQAgAAAAIgAAAGRycy9kb3du&#10;cmV2LnhtbFBLAQIUABQAAAAIAIdO4kC3HKYFNwIAAGUEAAAOAAAAAAAAAAEAIAAAACgBAABkcnMv&#10;ZTJvRG9jLnhtbFBLBQYAAAAABgAGAFkBAADRBQAAAAA=&#10;">
              <v:fill on="f" focussize="0,0"/>
              <v:stroke on="f" weight="0.5pt"/>
              <v:imagedata o:title=""/>
              <o:lock v:ext="edit" aspectratio="f"/>
              <v:textbox inset="0mm,0mm,0mm,0mm">
                <w:txbxContent>
                  <w:p w14:paraId="46BC12D4">
                    <w:pPr>
                      <w:pStyle w:val="28"/>
                      <w:rPr>
                        <w:rFonts w:ascii="Times New Roman" w:hAnsi="Times New Roman"/>
                        <w:sz w:val="32"/>
                        <w:szCs w:val="36"/>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F0B50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69F0B50F"/>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35B71"/>
    <w:multiLevelType w:val="singleLevel"/>
    <w:tmpl w:val="82635B71"/>
    <w:lvl w:ilvl="0" w:tentative="0">
      <w:start w:val="2"/>
      <w:numFmt w:val="decimal"/>
      <w:suff w:val="nothing"/>
      <w:lvlText w:val="%1、"/>
      <w:lvlJc w:val="left"/>
    </w:lvl>
  </w:abstractNum>
  <w:abstractNum w:abstractNumId="1">
    <w:nsid w:val="B5E306ED"/>
    <w:multiLevelType w:val="multilevel"/>
    <w:tmpl w:val="B5E306ED"/>
    <w:lvl w:ilvl="0" w:tentative="0">
      <w:start w:val="5"/>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517"/>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53208E"/>
    <w:multiLevelType w:val="multilevel"/>
    <w:tmpl w:val="0053208E"/>
    <w:lvl w:ilvl="0" w:tentative="0">
      <w:start w:val="1"/>
      <w:numFmt w:val="bullet"/>
      <w:pStyle w:val="493"/>
      <w:lvlText w:val="◆"/>
      <w:lvlJc w:val="left"/>
      <w:pPr>
        <w:tabs>
          <w:tab w:val="left" w:pos="930"/>
        </w:tabs>
        <w:ind w:left="930" w:hanging="210"/>
      </w:pPr>
      <w:rPr>
        <w:rFonts w:hint="eastAsia" w:ascii="宋体" w:hAnsi="宋体"/>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4">
    <w:nsid w:val="59ADCABA"/>
    <w:multiLevelType w:val="multilevel"/>
    <w:tmpl w:val="59ADCABA"/>
    <w:lvl w:ilvl="0" w:tentative="0">
      <w:start w:val="1"/>
      <w:numFmt w:val="bullet"/>
      <w:lvlText w:val=""/>
      <w:lvlJc w:val="left"/>
      <w:pPr>
        <w:tabs>
          <w:tab w:val="left" w:pos="900"/>
        </w:tabs>
        <w:ind w:left="900" w:hanging="420"/>
      </w:pPr>
      <w:rPr>
        <w:rFonts w:ascii="Wingdings" w:hAnsi="Wingdings"/>
      </w:rPr>
    </w:lvl>
    <w:lvl w:ilvl="1" w:tentative="0">
      <w:start w:val="1"/>
      <w:numFmt w:val="bullet"/>
      <w:lvlText w:val=""/>
      <w:lvlJc w:val="left"/>
      <w:pPr>
        <w:tabs>
          <w:tab w:val="left" w:pos="0"/>
        </w:tabs>
        <w:ind w:left="1320" w:hanging="420"/>
      </w:pPr>
      <w:rPr>
        <w:rFonts w:ascii="Wingdings" w:hAnsi="Wingdings"/>
      </w:rPr>
    </w:lvl>
    <w:lvl w:ilvl="2" w:tentative="0">
      <w:start w:val="1"/>
      <w:numFmt w:val="bullet"/>
      <w:pStyle w:val="518"/>
      <w:lvlText w:val=""/>
      <w:lvlJc w:val="left"/>
      <w:pPr>
        <w:tabs>
          <w:tab w:val="left" w:pos="0"/>
        </w:tabs>
        <w:ind w:left="1740" w:hanging="420"/>
      </w:pPr>
      <w:rPr>
        <w:rFonts w:ascii="Wingdings" w:hAnsi="Wingdings"/>
      </w:rPr>
    </w:lvl>
    <w:lvl w:ilvl="3" w:tentative="0">
      <w:start w:val="1"/>
      <w:numFmt w:val="bullet"/>
      <w:lvlText w:val=""/>
      <w:lvlJc w:val="left"/>
      <w:pPr>
        <w:tabs>
          <w:tab w:val="left" w:pos="0"/>
        </w:tabs>
        <w:ind w:left="2160" w:hanging="420"/>
      </w:pPr>
      <w:rPr>
        <w:rFonts w:ascii="Wingdings" w:hAnsi="Wingdings"/>
      </w:rPr>
    </w:lvl>
    <w:lvl w:ilvl="4" w:tentative="0">
      <w:start w:val="1"/>
      <w:numFmt w:val="bullet"/>
      <w:lvlText w:val=""/>
      <w:lvlJc w:val="left"/>
      <w:pPr>
        <w:tabs>
          <w:tab w:val="left" w:pos="0"/>
        </w:tabs>
        <w:ind w:left="2580" w:hanging="420"/>
      </w:pPr>
      <w:rPr>
        <w:rFonts w:ascii="Wingdings" w:hAnsi="Wingdings"/>
      </w:rPr>
    </w:lvl>
    <w:lvl w:ilvl="5" w:tentative="0">
      <w:start w:val="1"/>
      <w:numFmt w:val="bullet"/>
      <w:lvlText w:val=""/>
      <w:lvlJc w:val="left"/>
      <w:pPr>
        <w:tabs>
          <w:tab w:val="left" w:pos="0"/>
        </w:tabs>
        <w:ind w:left="3000" w:hanging="420"/>
      </w:pPr>
      <w:rPr>
        <w:rFonts w:ascii="Wingdings" w:hAnsi="Wingdings"/>
      </w:rPr>
    </w:lvl>
    <w:lvl w:ilvl="6" w:tentative="0">
      <w:start w:val="1"/>
      <w:numFmt w:val="bullet"/>
      <w:lvlText w:val=""/>
      <w:lvlJc w:val="left"/>
      <w:pPr>
        <w:tabs>
          <w:tab w:val="left" w:pos="0"/>
        </w:tabs>
        <w:ind w:left="3420" w:hanging="420"/>
      </w:pPr>
      <w:rPr>
        <w:rFonts w:ascii="Wingdings" w:hAnsi="Wingdings"/>
      </w:rPr>
    </w:lvl>
    <w:lvl w:ilvl="7" w:tentative="0">
      <w:start w:val="1"/>
      <w:numFmt w:val="bullet"/>
      <w:lvlText w:val=""/>
      <w:lvlJc w:val="left"/>
      <w:pPr>
        <w:tabs>
          <w:tab w:val="left" w:pos="0"/>
        </w:tabs>
        <w:ind w:left="3840" w:hanging="420"/>
      </w:pPr>
      <w:rPr>
        <w:rFonts w:ascii="Wingdings" w:hAnsi="Wingdings"/>
      </w:rPr>
    </w:lvl>
    <w:lvl w:ilvl="8" w:tentative="0">
      <w:start w:val="1"/>
      <w:numFmt w:val="bullet"/>
      <w:lvlText w:val=""/>
      <w:lvlJc w:val="left"/>
      <w:pPr>
        <w:tabs>
          <w:tab w:val="left" w:pos="0"/>
        </w:tabs>
        <w:ind w:left="4260" w:hanging="420"/>
      </w:pPr>
      <w:rPr>
        <w:rFonts w:ascii="Wingdings" w:hAnsi="Wingdings"/>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ZGIwMzljNDU5NjY5NDBiNTE0YzM3Y2FkYWYyZDUifQ=="/>
    <w:docVar w:name="KSO_WPS_MARK_KEY" w:val="ee9105e6-bf1a-4d6f-9e35-33774cc041ab"/>
  </w:docVars>
  <w:rsids>
    <w:rsidRoot w:val="008B6088"/>
    <w:rsid w:val="00043D57"/>
    <w:rsid w:val="00075868"/>
    <w:rsid w:val="001067C6"/>
    <w:rsid w:val="001771E2"/>
    <w:rsid w:val="001C3E96"/>
    <w:rsid w:val="001D4CB8"/>
    <w:rsid w:val="001E2E19"/>
    <w:rsid w:val="00225565"/>
    <w:rsid w:val="002476B4"/>
    <w:rsid w:val="0026337C"/>
    <w:rsid w:val="0026459A"/>
    <w:rsid w:val="00270F12"/>
    <w:rsid w:val="00293430"/>
    <w:rsid w:val="002E49E9"/>
    <w:rsid w:val="002E6934"/>
    <w:rsid w:val="002F6AAF"/>
    <w:rsid w:val="003024B6"/>
    <w:rsid w:val="00351B53"/>
    <w:rsid w:val="0037239E"/>
    <w:rsid w:val="00397EA6"/>
    <w:rsid w:val="003A7479"/>
    <w:rsid w:val="003D02F3"/>
    <w:rsid w:val="003D2B68"/>
    <w:rsid w:val="00423C82"/>
    <w:rsid w:val="00425560"/>
    <w:rsid w:val="00447325"/>
    <w:rsid w:val="00455DA8"/>
    <w:rsid w:val="004829D1"/>
    <w:rsid w:val="004855D3"/>
    <w:rsid w:val="00510D08"/>
    <w:rsid w:val="00550B25"/>
    <w:rsid w:val="00613303"/>
    <w:rsid w:val="0061443A"/>
    <w:rsid w:val="00634AF8"/>
    <w:rsid w:val="00651CF7"/>
    <w:rsid w:val="006B2709"/>
    <w:rsid w:val="006B40FB"/>
    <w:rsid w:val="006C25C3"/>
    <w:rsid w:val="006C462C"/>
    <w:rsid w:val="006F7E05"/>
    <w:rsid w:val="00740982"/>
    <w:rsid w:val="00741101"/>
    <w:rsid w:val="0075761D"/>
    <w:rsid w:val="00760BC5"/>
    <w:rsid w:val="00763B8E"/>
    <w:rsid w:val="007C136C"/>
    <w:rsid w:val="007D5B9F"/>
    <w:rsid w:val="00802E84"/>
    <w:rsid w:val="008039DC"/>
    <w:rsid w:val="00804796"/>
    <w:rsid w:val="00805668"/>
    <w:rsid w:val="00886E20"/>
    <w:rsid w:val="00891F3E"/>
    <w:rsid w:val="008A3C98"/>
    <w:rsid w:val="008A5717"/>
    <w:rsid w:val="008B6088"/>
    <w:rsid w:val="008D6D82"/>
    <w:rsid w:val="008F7D93"/>
    <w:rsid w:val="009116FD"/>
    <w:rsid w:val="00914C8D"/>
    <w:rsid w:val="009257A1"/>
    <w:rsid w:val="00943FA3"/>
    <w:rsid w:val="00957C6D"/>
    <w:rsid w:val="009803B2"/>
    <w:rsid w:val="009B692C"/>
    <w:rsid w:val="009D7EC5"/>
    <w:rsid w:val="009E6684"/>
    <w:rsid w:val="009F5EC6"/>
    <w:rsid w:val="00A00470"/>
    <w:rsid w:val="00A173CD"/>
    <w:rsid w:val="00A46526"/>
    <w:rsid w:val="00A55D78"/>
    <w:rsid w:val="00A60504"/>
    <w:rsid w:val="00A71672"/>
    <w:rsid w:val="00B14190"/>
    <w:rsid w:val="00B173A7"/>
    <w:rsid w:val="00B80E31"/>
    <w:rsid w:val="00B84A78"/>
    <w:rsid w:val="00B93F74"/>
    <w:rsid w:val="00C00161"/>
    <w:rsid w:val="00C1074F"/>
    <w:rsid w:val="00C26233"/>
    <w:rsid w:val="00C27B31"/>
    <w:rsid w:val="00C32E9E"/>
    <w:rsid w:val="00CB2CC8"/>
    <w:rsid w:val="00D338A4"/>
    <w:rsid w:val="00D51FAB"/>
    <w:rsid w:val="00D56E48"/>
    <w:rsid w:val="00D60AC1"/>
    <w:rsid w:val="00D638F8"/>
    <w:rsid w:val="00DA3B04"/>
    <w:rsid w:val="00DB698F"/>
    <w:rsid w:val="00DF4E70"/>
    <w:rsid w:val="00E12563"/>
    <w:rsid w:val="00E52DA1"/>
    <w:rsid w:val="00E57F12"/>
    <w:rsid w:val="00EA067D"/>
    <w:rsid w:val="00EB3FA3"/>
    <w:rsid w:val="00EF497F"/>
    <w:rsid w:val="00F065CA"/>
    <w:rsid w:val="00F6553E"/>
    <w:rsid w:val="00F84FB5"/>
    <w:rsid w:val="00FB2AA0"/>
    <w:rsid w:val="03191D6B"/>
    <w:rsid w:val="04893EB3"/>
    <w:rsid w:val="05C313AC"/>
    <w:rsid w:val="06093262"/>
    <w:rsid w:val="076A00AA"/>
    <w:rsid w:val="095B3277"/>
    <w:rsid w:val="0B1B3BE6"/>
    <w:rsid w:val="0C3B7EEE"/>
    <w:rsid w:val="0EA83187"/>
    <w:rsid w:val="0EE505E5"/>
    <w:rsid w:val="0F624E56"/>
    <w:rsid w:val="10C36704"/>
    <w:rsid w:val="128F2D41"/>
    <w:rsid w:val="14C908A5"/>
    <w:rsid w:val="17C87301"/>
    <w:rsid w:val="199450E1"/>
    <w:rsid w:val="1A435740"/>
    <w:rsid w:val="1BAE7E0A"/>
    <w:rsid w:val="1C6814B4"/>
    <w:rsid w:val="1DB20622"/>
    <w:rsid w:val="21246D4B"/>
    <w:rsid w:val="22FD5AA5"/>
    <w:rsid w:val="233F30E4"/>
    <w:rsid w:val="239E5D19"/>
    <w:rsid w:val="24D0393D"/>
    <w:rsid w:val="27075144"/>
    <w:rsid w:val="282B71AD"/>
    <w:rsid w:val="28341F69"/>
    <w:rsid w:val="28BF5F1C"/>
    <w:rsid w:val="28C70743"/>
    <w:rsid w:val="2A5B2274"/>
    <w:rsid w:val="2BF169CF"/>
    <w:rsid w:val="2E5F13C2"/>
    <w:rsid w:val="30AD0FC8"/>
    <w:rsid w:val="32843AED"/>
    <w:rsid w:val="33C5616B"/>
    <w:rsid w:val="374B2E2B"/>
    <w:rsid w:val="3C8B7826"/>
    <w:rsid w:val="3ECA2783"/>
    <w:rsid w:val="41B958F6"/>
    <w:rsid w:val="43BD6E5F"/>
    <w:rsid w:val="445F34B4"/>
    <w:rsid w:val="44E009EA"/>
    <w:rsid w:val="45025A39"/>
    <w:rsid w:val="4A4C39D1"/>
    <w:rsid w:val="4B7B049A"/>
    <w:rsid w:val="4DC214ED"/>
    <w:rsid w:val="501F1213"/>
    <w:rsid w:val="5490006B"/>
    <w:rsid w:val="58040BF9"/>
    <w:rsid w:val="5C1D44E7"/>
    <w:rsid w:val="5D6B3CD0"/>
    <w:rsid w:val="5EC259AD"/>
    <w:rsid w:val="67AC4285"/>
    <w:rsid w:val="67FF09CC"/>
    <w:rsid w:val="6C11277C"/>
    <w:rsid w:val="6DAD4FB9"/>
    <w:rsid w:val="6E5666B0"/>
    <w:rsid w:val="709F32C5"/>
    <w:rsid w:val="72C43AC2"/>
    <w:rsid w:val="738E3BE2"/>
    <w:rsid w:val="768F171B"/>
    <w:rsid w:val="77D77A88"/>
    <w:rsid w:val="78E37056"/>
    <w:rsid w:val="79C124FE"/>
    <w:rsid w:val="7C246FBD"/>
    <w:rsid w:val="7CCD013E"/>
    <w:rsid w:val="7D337D54"/>
    <w:rsid w:val="7E75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1"/>
    <w:basedOn w:val="1"/>
    <w:next w:val="1"/>
    <w:link w:val="68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4"/>
    <w:unhideWhenUsed/>
    <w:qFormat/>
    <w:uiPriority w:val="9"/>
    <w:pPr>
      <w:keepNext/>
      <w:keepLines/>
      <w:spacing w:before="360" w:after="200"/>
      <w:outlineLvl w:val="1"/>
    </w:pPr>
    <w:rPr>
      <w:rFonts w:ascii="Arial" w:hAnsi="Arial" w:eastAsia="Arial" w:cs="Arial"/>
      <w:sz w:val="34"/>
    </w:rPr>
  </w:style>
  <w:style w:type="paragraph" w:styleId="5">
    <w:name w:val="heading 3"/>
    <w:basedOn w:val="6"/>
    <w:next w:val="7"/>
    <w:unhideWhenUsed/>
    <w:qFormat/>
    <w:uiPriority w:val="9"/>
    <w:pPr>
      <w:keepNext/>
      <w:keepLines/>
      <w:spacing w:before="320" w:after="200"/>
      <w:outlineLvl w:val="2"/>
    </w:pPr>
    <w:rPr>
      <w:rFonts w:ascii="Arial" w:hAnsi="Arial" w:eastAsia="Arial" w:cs="Arial"/>
      <w:sz w:val="30"/>
      <w:szCs w:val="30"/>
    </w:rPr>
  </w:style>
  <w:style w:type="paragraph" w:styleId="11">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12">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13">
    <w:name w:val="heading 6"/>
    <w:basedOn w:val="1"/>
    <w:next w:val="1"/>
    <w:unhideWhenUsed/>
    <w:qFormat/>
    <w:uiPriority w:val="9"/>
    <w:pPr>
      <w:keepNext/>
      <w:keepLines/>
      <w:spacing w:before="320" w:after="200"/>
      <w:outlineLvl w:val="5"/>
    </w:pPr>
    <w:rPr>
      <w:rFonts w:ascii="Arial" w:hAnsi="Arial" w:eastAsia="Arial" w:cs="Arial"/>
      <w:b/>
      <w:bCs/>
      <w:sz w:val="22"/>
    </w:rPr>
  </w:style>
  <w:style w:type="paragraph" w:styleId="14">
    <w:name w:val="heading 7"/>
    <w:basedOn w:val="1"/>
    <w:next w:val="1"/>
    <w:unhideWhenUsed/>
    <w:qFormat/>
    <w:uiPriority w:val="9"/>
    <w:pPr>
      <w:keepNext/>
      <w:keepLines/>
      <w:spacing w:before="320" w:after="200"/>
      <w:outlineLvl w:val="6"/>
    </w:pPr>
    <w:rPr>
      <w:rFonts w:ascii="Arial" w:hAnsi="Arial" w:eastAsia="Arial" w:cs="Arial"/>
      <w:b/>
      <w:bCs/>
      <w:i/>
      <w:iCs/>
      <w:sz w:val="22"/>
    </w:rPr>
  </w:style>
  <w:style w:type="paragraph" w:styleId="15">
    <w:name w:val="heading 8"/>
    <w:basedOn w:val="1"/>
    <w:next w:val="1"/>
    <w:unhideWhenUsed/>
    <w:qFormat/>
    <w:uiPriority w:val="9"/>
    <w:pPr>
      <w:keepNext/>
      <w:keepLines/>
      <w:spacing w:before="320" w:after="200"/>
      <w:outlineLvl w:val="7"/>
    </w:pPr>
    <w:rPr>
      <w:rFonts w:ascii="Arial" w:hAnsi="Arial" w:eastAsia="Arial" w:cs="Arial"/>
      <w:i/>
      <w:iCs/>
      <w:sz w:val="22"/>
    </w:rPr>
  </w:style>
  <w:style w:type="paragraph" w:styleId="16">
    <w:name w:val="heading 9"/>
    <w:basedOn w:val="1"/>
    <w:next w:val="1"/>
    <w:unhideWhenUsed/>
    <w:qFormat/>
    <w:uiPriority w:val="9"/>
    <w:pPr>
      <w:keepNext/>
      <w:keepLines/>
      <w:spacing w:before="320" w:after="200"/>
      <w:outlineLvl w:val="8"/>
    </w:pPr>
    <w:rPr>
      <w:rFonts w:ascii="Arial" w:hAnsi="Arial" w:eastAsia="Arial" w:cs="Arial"/>
      <w:i/>
      <w:iCs/>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customStyle="1" w:styleId="6">
    <w:name w:val="Normal1"/>
    <w:next w:val="5"/>
    <w:qFormat/>
    <w:uiPriority w:val="0"/>
    <w:rPr>
      <w:rFonts w:ascii="Times New Roman" w:hAnsi="Times New Roman" w:eastAsia="Times New Roman" w:cs="Times New Roman"/>
      <w:sz w:val="24"/>
      <w:szCs w:val="24"/>
      <w:lang w:val="en-US" w:eastAsia="zh-CN" w:bidi="ar-SA"/>
    </w:rPr>
  </w:style>
  <w:style w:type="paragraph" w:customStyle="1" w:styleId="7">
    <w:name w:val="Normal_19"/>
    <w:next w:val="8"/>
    <w:qFormat/>
    <w:uiPriority w:val="0"/>
    <w:rPr>
      <w:rFonts w:ascii="Times New Roman" w:hAnsi="Times New Roman" w:eastAsia="Times New Roman" w:cs="Times New Roman"/>
      <w:sz w:val="24"/>
      <w:szCs w:val="24"/>
      <w:lang w:val="en-US" w:eastAsia="zh-CN" w:bidi="ar-SA"/>
    </w:rPr>
  </w:style>
  <w:style w:type="paragraph" w:customStyle="1" w:styleId="8">
    <w:name w:val="正文1"/>
    <w:next w:val="9"/>
    <w:qFormat/>
    <w:uiPriority w:val="0"/>
    <w:pPr>
      <w:widowControl w:val="0"/>
      <w:jc w:val="both"/>
    </w:pPr>
    <w:rPr>
      <w:rFonts w:ascii="Times New Roman" w:hAnsi="Times New Roman" w:eastAsia="宋体" w:cs="Times New Roman"/>
      <w:szCs w:val="21"/>
      <w:lang w:val="en-US" w:eastAsia="zh-CN" w:bidi="ar-SA"/>
    </w:rPr>
  </w:style>
  <w:style w:type="paragraph" w:customStyle="1" w:styleId="9">
    <w:name w:val="Body Text First Indent1"/>
    <w:basedOn w:val="10"/>
    <w:unhideWhenUsed/>
    <w:qFormat/>
    <w:uiPriority w:val="99"/>
    <w:pPr>
      <w:ind w:firstLine="420" w:firstLineChars="100"/>
    </w:pPr>
  </w:style>
  <w:style w:type="paragraph" w:customStyle="1" w:styleId="10">
    <w:name w:val="Body Text1"/>
    <w:basedOn w:val="8"/>
    <w:unhideWhenUsed/>
    <w:qFormat/>
    <w:uiPriority w:val="99"/>
    <w:pPr>
      <w:spacing w:after="120"/>
    </w:pPr>
  </w:style>
  <w:style w:type="paragraph" w:styleId="17">
    <w:name w:val="toc 7"/>
    <w:basedOn w:val="1"/>
    <w:next w:val="1"/>
    <w:qFormat/>
    <w:uiPriority w:val="0"/>
    <w:pPr>
      <w:ind w:left="1260"/>
      <w:jc w:val="left"/>
    </w:pPr>
    <w:rPr>
      <w:rFonts w:cs="Calibri"/>
      <w:sz w:val="18"/>
      <w:szCs w:val="18"/>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annotation text"/>
    <w:basedOn w:val="1"/>
    <w:semiHidden/>
    <w:unhideWhenUsed/>
    <w:qFormat/>
    <w:uiPriority w:val="99"/>
    <w:pPr>
      <w:jc w:val="left"/>
    </w:pPr>
  </w:style>
  <w:style w:type="paragraph" w:styleId="20">
    <w:name w:val="Body Text"/>
    <w:basedOn w:val="1"/>
    <w:qFormat/>
    <w:uiPriority w:val="1"/>
    <w:pPr>
      <w:ind w:firstLine="600"/>
    </w:pPr>
    <w:rPr>
      <w:rFonts w:ascii="Times New Roman" w:hAnsi="Times New Roman" w:eastAsia="方正仿宋_GBK"/>
      <w:b/>
      <w:bCs/>
      <w:color w:val="FF0000"/>
      <w:sz w:val="30"/>
      <w:szCs w:val="30"/>
    </w:rPr>
  </w:style>
  <w:style w:type="paragraph" w:styleId="21">
    <w:name w:val="Body Text Indent"/>
    <w:basedOn w:val="1"/>
    <w:unhideWhenUsed/>
    <w:qFormat/>
    <w:uiPriority w:val="0"/>
    <w:pPr>
      <w:spacing w:after="120"/>
      <w:ind w:left="420"/>
    </w:pPr>
  </w:style>
  <w:style w:type="paragraph" w:styleId="22">
    <w:name w:val="toc 5"/>
    <w:basedOn w:val="1"/>
    <w:next w:val="1"/>
    <w:qFormat/>
    <w:uiPriority w:val="0"/>
    <w:pPr>
      <w:ind w:left="840"/>
      <w:jc w:val="left"/>
    </w:pPr>
    <w:rPr>
      <w:rFonts w:cs="Calibri"/>
      <w:sz w:val="18"/>
      <w:szCs w:val="18"/>
    </w:rPr>
  </w:style>
  <w:style w:type="paragraph" w:styleId="23">
    <w:name w:val="toc 3"/>
    <w:basedOn w:val="1"/>
    <w:next w:val="1"/>
    <w:qFormat/>
    <w:uiPriority w:val="39"/>
    <w:pPr>
      <w:ind w:left="420"/>
      <w:jc w:val="left"/>
    </w:pPr>
    <w:rPr>
      <w:rFonts w:cs="Calibri"/>
      <w:i/>
      <w:iCs/>
      <w:sz w:val="20"/>
      <w:szCs w:val="20"/>
    </w:rPr>
  </w:style>
  <w:style w:type="paragraph" w:styleId="24">
    <w:name w:val="Plain Text"/>
    <w:basedOn w:val="1"/>
    <w:qFormat/>
    <w:uiPriority w:val="0"/>
    <w:rPr>
      <w:rFonts w:ascii="宋体" w:hAnsi="Courier New" w:cs="Courier New"/>
      <w:szCs w:val="21"/>
    </w:rPr>
  </w:style>
  <w:style w:type="paragraph" w:styleId="25">
    <w:name w:val="toc 8"/>
    <w:basedOn w:val="1"/>
    <w:next w:val="1"/>
    <w:qFormat/>
    <w:uiPriority w:val="0"/>
    <w:pPr>
      <w:ind w:left="1470"/>
      <w:jc w:val="left"/>
    </w:pPr>
    <w:rPr>
      <w:rFonts w:cs="Calibri"/>
      <w:sz w:val="18"/>
      <w:szCs w:val="18"/>
    </w:rPr>
  </w:style>
  <w:style w:type="paragraph" w:styleId="26">
    <w:name w:val="endnote text"/>
    <w:basedOn w:val="1"/>
    <w:semiHidden/>
    <w:unhideWhenUsed/>
    <w:qFormat/>
    <w:uiPriority w:val="99"/>
    <w:rPr>
      <w:sz w:val="20"/>
    </w:rPr>
  </w:style>
  <w:style w:type="paragraph" w:styleId="27">
    <w:name w:val="Balloon Text"/>
    <w:basedOn w:val="1"/>
    <w:link w:val="679"/>
    <w:semiHidden/>
    <w:unhideWhenUsed/>
    <w:qFormat/>
    <w:uiPriority w:val="99"/>
    <w:rPr>
      <w:rFonts w:ascii="宋体"/>
      <w:sz w:val="18"/>
      <w:szCs w:val="18"/>
    </w:rPr>
  </w:style>
  <w:style w:type="paragraph" w:styleId="28">
    <w:name w:val="footer"/>
    <w:basedOn w:val="1"/>
    <w:unhideWhenUsed/>
    <w:qFormat/>
    <w:uiPriority w:val="99"/>
    <w:pPr>
      <w:tabs>
        <w:tab w:val="center" w:pos="7143"/>
        <w:tab w:val="right" w:pos="14287"/>
      </w:tabs>
    </w:pPr>
  </w:style>
  <w:style w:type="paragraph" w:styleId="29">
    <w:name w:val="header"/>
    <w:basedOn w:val="1"/>
    <w:unhideWhenUsed/>
    <w:qFormat/>
    <w:uiPriority w:val="99"/>
    <w:pPr>
      <w:tabs>
        <w:tab w:val="center" w:pos="7143"/>
        <w:tab w:val="right" w:pos="14287"/>
      </w:tabs>
    </w:pPr>
  </w:style>
  <w:style w:type="paragraph" w:styleId="30">
    <w:name w:val="toc 1"/>
    <w:basedOn w:val="1"/>
    <w:next w:val="1"/>
    <w:qFormat/>
    <w:uiPriority w:val="39"/>
    <w:pPr>
      <w:spacing w:before="120" w:after="120"/>
      <w:jc w:val="left"/>
    </w:pPr>
    <w:rPr>
      <w:rFonts w:cs="Calibri"/>
      <w:b/>
      <w:bCs/>
      <w:caps/>
      <w:sz w:val="20"/>
      <w:szCs w:val="20"/>
    </w:rPr>
  </w:style>
  <w:style w:type="paragraph" w:styleId="31">
    <w:name w:val="toc 4"/>
    <w:basedOn w:val="1"/>
    <w:next w:val="1"/>
    <w:qFormat/>
    <w:uiPriority w:val="0"/>
    <w:pPr>
      <w:ind w:left="630"/>
      <w:jc w:val="left"/>
    </w:pPr>
    <w:rPr>
      <w:rFonts w:cs="Calibri"/>
      <w:sz w:val="18"/>
      <w:szCs w:val="18"/>
    </w:rPr>
  </w:style>
  <w:style w:type="paragraph" w:styleId="32">
    <w:name w:val="Subtitle"/>
    <w:basedOn w:val="1"/>
    <w:next w:val="1"/>
    <w:qFormat/>
    <w:uiPriority w:val="11"/>
    <w:pPr>
      <w:spacing w:before="200" w:after="200"/>
    </w:pPr>
    <w:rPr>
      <w:sz w:val="24"/>
      <w:szCs w:val="24"/>
    </w:rPr>
  </w:style>
  <w:style w:type="paragraph" w:styleId="33">
    <w:name w:val="footnote text"/>
    <w:basedOn w:val="1"/>
    <w:semiHidden/>
    <w:unhideWhenUsed/>
    <w:qFormat/>
    <w:uiPriority w:val="99"/>
    <w:pPr>
      <w:spacing w:after="40"/>
    </w:pPr>
    <w:rPr>
      <w:sz w:val="18"/>
    </w:rPr>
  </w:style>
  <w:style w:type="paragraph" w:styleId="34">
    <w:name w:val="toc 6"/>
    <w:basedOn w:val="1"/>
    <w:next w:val="1"/>
    <w:qFormat/>
    <w:uiPriority w:val="0"/>
    <w:pPr>
      <w:ind w:left="1050"/>
      <w:jc w:val="left"/>
    </w:pPr>
    <w:rPr>
      <w:rFonts w:cs="Calibri"/>
      <w:sz w:val="18"/>
      <w:szCs w:val="18"/>
    </w:rPr>
  </w:style>
  <w:style w:type="paragraph" w:styleId="35">
    <w:name w:val="table of figures"/>
    <w:basedOn w:val="1"/>
    <w:next w:val="1"/>
    <w:unhideWhenUsed/>
    <w:qFormat/>
    <w:uiPriority w:val="99"/>
  </w:style>
  <w:style w:type="paragraph" w:styleId="36">
    <w:name w:val="toc 2"/>
    <w:basedOn w:val="1"/>
    <w:next w:val="1"/>
    <w:qFormat/>
    <w:uiPriority w:val="39"/>
    <w:pPr>
      <w:ind w:left="210"/>
      <w:jc w:val="left"/>
    </w:pPr>
    <w:rPr>
      <w:rFonts w:cs="Calibri"/>
      <w:smallCaps/>
      <w:sz w:val="20"/>
      <w:szCs w:val="20"/>
    </w:rPr>
  </w:style>
  <w:style w:type="paragraph" w:styleId="37">
    <w:name w:val="toc 9"/>
    <w:basedOn w:val="1"/>
    <w:next w:val="1"/>
    <w:qFormat/>
    <w:uiPriority w:val="0"/>
    <w:pPr>
      <w:ind w:left="1680"/>
      <w:jc w:val="left"/>
    </w:pPr>
    <w:rPr>
      <w:rFonts w:cs="Calibri"/>
      <w:sz w:val="18"/>
      <w:szCs w:val="18"/>
    </w:rPr>
  </w:style>
  <w:style w:type="paragraph" w:styleId="38">
    <w:name w:val="Body Text 2"/>
    <w:basedOn w:val="1"/>
    <w:next w:val="20"/>
    <w:qFormat/>
    <w:uiPriority w:val="0"/>
  </w:style>
  <w:style w:type="paragraph" w:styleId="39">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0">
    <w:name w:val="Title"/>
    <w:basedOn w:val="1"/>
    <w:next w:val="1"/>
    <w:qFormat/>
    <w:uiPriority w:val="10"/>
    <w:pPr>
      <w:spacing w:before="300" w:after="200"/>
      <w:contextualSpacing/>
    </w:pPr>
    <w:rPr>
      <w:sz w:val="48"/>
      <w:szCs w:val="48"/>
    </w:rPr>
  </w:style>
  <w:style w:type="table" w:styleId="4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endnote reference"/>
    <w:semiHidden/>
    <w:unhideWhenUsed/>
    <w:qFormat/>
    <w:uiPriority w:val="99"/>
    <w:rPr>
      <w:vertAlign w:val="superscript"/>
    </w:rPr>
  </w:style>
  <w:style w:type="character" w:styleId="45">
    <w:name w:val="Hyperlink"/>
    <w:unhideWhenUsed/>
    <w:qFormat/>
    <w:uiPriority w:val="99"/>
    <w:rPr>
      <w:color w:val="0000FF" w:themeColor="hyperlink"/>
      <w:u w:val="single"/>
      <w14:textFill>
        <w14:solidFill>
          <w14:schemeClr w14:val="hlink"/>
        </w14:solidFill>
      </w14:textFill>
    </w:rPr>
  </w:style>
  <w:style w:type="character" w:styleId="46">
    <w:name w:val="annotation reference"/>
    <w:basedOn w:val="43"/>
    <w:semiHidden/>
    <w:unhideWhenUsed/>
    <w:qFormat/>
    <w:uiPriority w:val="99"/>
    <w:rPr>
      <w:sz w:val="21"/>
      <w:szCs w:val="21"/>
    </w:rPr>
  </w:style>
  <w:style w:type="character" w:styleId="47">
    <w:name w:val="footnote reference"/>
    <w:unhideWhenUsed/>
    <w:qFormat/>
    <w:uiPriority w:val="99"/>
    <w:rPr>
      <w:vertAlign w:val="superscript"/>
    </w:rPr>
  </w:style>
  <w:style w:type="table" w:customStyle="1" w:styleId="48">
    <w:name w:val="无格式表格 11"/>
    <w:basedOn w:val="4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49">
    <w:name w:val="普通表格11"/>
    <w:unhideWhenUsed/>
    <w:qFormat/>
    <w:uiPriority w:val="99"/>
    <w:tblPr>
      <w:tblCellMar>
        <w:top w:w="0" w:type="dxa"/>
        <w:left w:w="0" w:type="dxa"/>
        <w:bottom w:w="0" w:type="dxa"/>
        <w:right w:w="0" w:type="dxa"/>
      </w:tblCellMar>
    </w:tblPr>
  </w:style>
  <w:style w:type="table" w:customStyle="1" w:styleId="50">
    <w:name w:val="无格式表格 21"/>
    <w:basedOn w:val="49"/>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1">
    <w:name w:val="无格式表格 31"/>
    <w:basedOn w:val="49"/>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2">
    <w:name w:val="无格式表格 41"/>
    <w:basedOn w:val="49"/>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3">
    <w:name w:val="无格式表格 51"/>
    <w:basedOn w:val="49"/>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4">
    <w:name w:val="网格表 1 浅色1"/>
    <w:basedOn w:val="49"/>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5">
    <w:name w:val="网格表 21"/>
    <w:basedOn w:val="4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6">
    <w:name w:val="网格表 31"/>
    <w:basedOn w:val="4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7">
    <w:name w:val="网格表 41"/>
    <w:basedOn w:val="49"/>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8">
    <w:name w:val="网格表 5 深色1"/>
    <w:basedOn w:val="4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59">
    <w:name w:val="网格表 6 彩色1"/>
    <w:basedOn w:val="49"/>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0">
    <w:name w:val="网格表 7 彩色1"/>
    <w:basedOn w:val="49"/>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1">
    <w:name w:val="清单表 1 浅色1"/>
    <w:basedOn w:val="49"/>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2">
    <w:name w:val="清单表 21"/>
    <w:basedOn w:val="49"/>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3">
    <w:name w:val="清单表 31"/>
    <w:basedOn w:val="4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4">
    <w:name w:val="清单表 41"/>
    <w:basedOn w:val="4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5">
    <w:name w:val="清单表 5 深色1"/>
    <w:basedOn w:val="49"/>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66">
    <w:name w:val="清单表 6 彩色1"/>
    <w:basedOn w:val="49"/>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67">
    <w:name w:val="清单表 7 彩色1"/>
    <w:basedOn w:val="49"/>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68">
    <w:name w:val="TOC 标题1"/>
    <w:unhideWhenUsed/>
    <w:qFormat/>
    <w:uiPriority w:val="39"/>
    <w:rPr>
      <w:rFonts w:ascii="Times New Roman" w:hAnsi="Times New Roman" w:eastAsia="宋体" w:cs="Times New Roman"/>
      <w:lang w:val="en-US" w:eastAsia="zh-CN" w:bidi="ar-SA"/>
    </w:rPr>
  </w:style>
  <w:style w:type="paragraph" w:customStyle="1" w:styleId="69">
    <w:name w:val="TOC 标题116"/>
    <w:unhideWhenUsed/>
    <w:qFormat/>
    <w:uiPriority w:val="39"/>
    <w:rPr>
      <w:rFonts w:ascii="Times New Roman" w:hAnsi="Times New Roman" w:eastAsia="宋体" w:cs="Times New Roman"/>
      <w:lang w:val="en-US" w:eastAsia="zh-CN" w:bidi="ar-SA"/>
    </w:rPr>
  </w:style>
  <w:style w:type="paragraph" w:customStyle="1" w:styleId="70">
    <w:name w:val="TOC 标题115"/>
    <w:unhideWhenUsed/>
    <w:qFormat/>
    <w:uiPriority w:val="39"/>
    <w:rPr>
      <w:rFonts w:ascii="Times New Roman" w:hAnsi="Times New Roman" w:eastAsia="宋体" w:cs="Times New Roman"/>
      <w:lang w:val="en-US" w:eastAsia="zh-CN" w:bidi="ar-SA"/>
    </w:rPr>
  </w:style>
  <w:style w:type="paragraph" w:customStyle="1" w:styleId="71">
    <w:name w:val="TOC 标题114"/>
    <w:unhideWhenUsed/>
    <w:qFormat/>
    <w:uiPriority w:val="39"/>
    <w:rPr>
      <w:rFonts w:ascii="Times New Roman" w:hAnsi="Times New Roman" w:eastAsia="宋体" w:cs="Times New Roman"/>
      <w:lang w:val="en-US" w:eastAsia="zh-CN" w:bidi="ar-SA"/>
    </w:rPr>
  </w:style>
  <w:style w:type="character" w:customStyle="1" w:styleId="72">
    <w:name w:val="标题 1 字符"/>
    <w:link w:val="73"/>
    <w:qFormat/>
    <w:uiPriority w:val="0"/>
    <w:rPr>
      <w:b/>
      <w:sz w:val="44"/>
    </w:rPr>
  </w:style>
  <w:style w:type="paragraph" w:customStyle="1" w:styleId="73">
    <w:name w:val="标题 11"/>
    <w:basedOn w:val="1"/>
    <w:next w:val="1"/>
    <w:link w:val="72"/>
    <w:qFormat/>
    <w:uiPriority w:val="0"/>
    <w:pPr>
      <w:keepNext/>
      <w:keepLines/>
      <w:spacing w:before="340" w:after="330" w:line="576" w:lineRule="auto"/>
      <w:outlineLvl w:val="0"/>
    </w:pPr>
    <w:rPr>
      <w:rFonts w:ascii="Times New Roman" w:hAnsi="Times New Roman"/>
      <w:b/>
      <w:sz w:val="44"/>
      <w:szCs w:val="20"/>
    </w:rPr>
  </w:style>
  <w:style w:type="character" w:customStyle="1" w:styleId="74">
    <w:name w:val="标题 2 字符"/>
    <w:link w:val="75"/>
    <w:qFormat/>
    <w:uiPriority w:val="0"/>
    <w:rPr>
      <w:rFonts w:ascii="Arial" w:hAnsi="Arial" w:eastAsia="黑体"/>
      <w:b/>
      <w:sz w:val="32"/>
    </w:rPr>
  </w:style>
  <w:style w:type="paragraph" w:customStyle="1" w:styleId="75">
    <w:name w:val="标题 21"/>
    <w:basedOn w:val="1"/>
    <w:next w:val="1"/>
    <w:link w:val="74"/>
    <w:qFormat/>
    <w:uiPriority w:val="0"/>
    <w:pPr>
      <w:keepNext/>
      <w:keepLines/>
      <w:spacing w:before="260" w:after="260" w:line="413" w:lineRule="auto"/>
      <w:outlineLvl w:val="1"/>
    </w:pPr>
    <w:rPr>
      <w:rFonts w:ascii="Arial" w:hAnsi="Arial" w:eastAsia="黑体"/>
      <w:b/>
      <w:sz w:val="32"/>
      <w:szCs w:val="20"/>
    </w:rPr>
  </w:style>
  <w:style w:type="character" w:customStyle="1" w:styleId="76">
    <w:name w:val="标题 3 字符"/>
    <w:link w:val="77"/>
    <w:qFormat/>
    <w:uiPriority w:val="0"/>
    <w:rPr>
      <w:b/>
      <w:sz w:val="32"/>
    </w:rPr>
  </w:style>
  <w:style w:type="paragraph" w:customStyle="1" w:styleId="77">
    <w:name w:val="标题 31"/>
    <w:basedOn w:val="1"/>
    <w:next w:val="1"/>
    <w:link w:val="76"/>
    <w:qFormat/>
    <w:uiPriority w:val="0"/>
    <w:pPr>
      <w:keepNext/>
      <w:keepLines/>
      <w:spacing w:before="260" w:after="260" w:line="413" w:lineRule="auto"/>
      <w:outlineLvl w:val="2"/>
    </w:pPr>
    <w:rPr>
      <w:rFonts w:ascii="Times New Roman" w:hAnsi="Times New Roman"/>
      <w:b/>
      <w:sz w:val="32"/>
      <w:szCs w:val="20"/>
    </w:rPr>
  </w:style>
  <w:style w:type="character" w:customStyle="1" w:styleId="78">
    <w:name w:val="标题 4 字符"/>
    <w:link w:val="79"/>
    <w:qFormat/>
    <w:uiPriority w:val="0"/>
    <w:rPr>
      <w:rFonts w:ascii="宋体" w:eastAsia="宋体"/>
      <w:color w:val="800000"/>
      <w:sz w:val="28"/>
      <w:lang w:val="en-US" w:eastAsia="zh-CN" w:bidi="ar-SA"/>
    </w:rPr>
  </w:style>
  <w:style w:type="paragraph" w:customStyle="1" w:styleId="79">
    <w:name w:val="标题 41"/>
    <w:basedOn w:val="1"/>
    <w:next w:val="1"/>
    <w:link w:val="78"/>
    <w:qFormat/>
    <w:uiPriority w:val="0"/>
    <w:pPr>
      <w:keepNext/>
      <w:keepLines/>
      <w:tabs>
        <w:tab w:val="left" w:pos="1134"/>
        <w:tab w:val="right" w:pos="7371"/>
      </w:tabs>
      <w:spacing w:line="360" w:lineRule="auto"/>
      <w:outlineLvl w:val="3"/>
    </w:pPr>
    <w:rPr>
      <w:rFonts w:ascii="宋体" w:hAnsi="Times New Roman"/>
      <w:color w:val="800000"/>
      <w:sz w:val="28"/>
      <w:szCs w:val="20"/>
    </w:rPr>
  </w:style>
  <w:style w:type="paragraph" w:styleId="80">
    <w:name w:val="List Paragraph"/>
    <w:basedOn w:val="1"/>
    <w:qFormat/>
    <w:uiPriority w:val="34"/>
    <w:pPr>
      <w:ind w:left="720"/>
      <w:contextualSpacing/>
    </w:pPr>
  </w:style>
  <w:style w:type="paragraph" w:styleId="81">
    <w:name w:val="No Spacing"/>
    <w:qFormat/>
    <w:uiPriority w:val="1"/>
    <w:rPr>
      <w:rFonts w:ascii="Times New Roman" w:hAnsi="Times New Roman" w:eastAsia="宋体" w:cs="Times New Roman"/>
      <w:lang w:val="en-US" w:eastAsia="zh-CN" w:bidi="ar-SA"/>
    </w:rPr>
  </w:style>
  <w:style w:type="paragraph" w:styleId="82">
    <w:name w:val="Quote"/>
    <w:basedOn w:val="1"/>
    <w:next w:val="1"/>
    <w:qFormat/>
    <w:uiPriority w:val="29"/>
    <w:pPr>
      <w:ind w:left="720" w:right="720"/>
    </w:pPr>
    <w:rPr>
      <w:i/>
    </w:rPr>
  </w:style>
  <w:style w:type="paragraph" w:styleId="83">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84">
    <w:name w:val="TOC 标题113"/>
    <w:unhideWhenUsed/>
    <w:qFormat/>
    <w:uiPriority w:val="39"/>
    <w:rPr>
      <w:rFonts w:ascii="Times New Roman" w:hAnsi="Times New Roman" w:eastAsia="宋体" w:cs="Times New Roman"/>
      <w:lang w:val="en-US" w:eastAsia="zh-CN" w:bidi="ar-SA"/>
    </w:rPr>
  </w:style>
  <w:style w:type="paragraph" w:customStyle="1" w:styleId="85">
    <w:name w:val="标题 111"/>
    <w:basedOn w:val="1"/>
    <w:next w:val="1"/>
    <w:link w:val="95"/>
    <w:qFormat/>
    <w:uiPriority w:val="9"/>
    <w:pPr>
      <w:keepNext/>
      <w:keepLines/>
      <w:spacing w:before="480" w:after="200"/>
      <w:outlineLvl w:val="0"/>
    </w:pPr>
    <w:rPr>
      <w:rFonts w:ascii="Arial" w:hAnsi="Arial" w:eastAsia="Arial" w:cs="Arial"/>
      <w:sz w:val="40"/>
      <w:szCs w:val="40"/>
    </w:rPr>
  </w:style>
  <w:style w:type="paragraph" w:customStyle="1" w:styleId="86">
    <w:name w:val="标题 211"/>
    <w:basedOn w:val="1"/>
    <w:next w:val="1"/>
    <w:qFormat/>
    <w:uiPriority w:val="9"/>
    <w:pPr>
      <w:keepNext/>
      <w:keepLines/>
      <w:spacing w:before="360" w:after="200"/>
      <w:outlineLvl w:val="1"/>
    </w:pPr>
    <w:rPr>
      <w:rFonts w:ascii="Arial" w:hAnsi="Arial" w:eastAsia="Arial" w:cs="Arial"/>
      <w:sz w:val="34"/>
    </w:rPr>
  </w:style>
  <w:style w:type="paragraph" w:customStyle="1" w:styleId="87">
    <w:name w:val="标题 311"/>
    <w:basedOn w:val="1"/>
    <w:next w:val="1"/>
    <w:qFormat/>
    <w:uiPriority w:val="9"/>
    <w:pPr>
      <w:keepNext/>
      <w:keepLines/>
      <w:spacing w:before="320" w:after="200"/>
      <w:outlineLvl w:val="2"/>
    </w:pPr>
    <w:rPr>
      <w:rFonts w:ascii="Arial" w:hAnsi="Arial" w:eastAsia="Arial" w:cs="Arial"/>
      <w:sz w:val="30"/>
      <w:szCs w:val="30"/>
    </w:rPr>
  </w:style>
  <w:style w:type="paragraph" w:customStyle="1" w:styleId="88">
    <w:name w:val="标题 411"/>
    <w:basedOn w:val="1"/>
    <w:next w:val="1"/>
    <w:qFormat/>
    <w:uiPriority w:val="9"/>
    <w:pPr>
      <w:keepNext/>
      <w:keepLines/>
      <w:spacing w:before="320" w:after="200"/>
      <w:outlineLvl w:val="3"/>
    </w:pPr>
    <w:rPr>
      <w:rFonts w:ascii="Arial" w:hAnsi="Arial" w:eastAsia="Arial" w:cs="Arial"/>
      <w:b/>
      <w:bCs/>
      <w:sz w:val="26"/>
      <w:szCs w:val="26"/>
    </w:rPr>
  </w:style>
  <w:style w:type="paragraph" w:customStyle="1" w:styleId="89">
    <w:name w:val="标题 511"/>
    <w:basedOn w:val="1"/>
    <w:next w:val="1"/>
    <w:link w:val="96"/>
    <w:qFormat/>
    <w:uiPriority w:val="9"/>
    <w:pPr>
      <w:keepNext/>
      <w:keepLines/>
      <w:spacing w:before="320" w:after="200"/>
      <w:outlineLvl w:val="4"/>
    </w:pPr>
    <w:rPr>
      <w:rFonts w:ascii="Arial" w:hAnsi="Arial" w:eastAsia="Arial" w:cs="Arial"/>
      <w:b/>
      <w:bCs/>
      <w:sz w:val="24"/>
      <w:szCs w:val="24"/>
    </w:rPr>
  </w:style>
  <w:style w:type="paragraph" w:customStyle="1" w:styleId="90">
    <w:name w:val="标题 611"/>
    <w:basedOn w:val="1"/>
    <w:next w:val="1"/>
    <w:link w:val="97"/>
    <w:qFormat/>
    <w:uiPriority w:val="9"/>
    <w:pPr>
      <w:keepNext/>
      <w:keepLines/>
      <w:spacing w:before="320" w:after="200"/>
      <w:outlineLvl w:val="5"/>
    </w:pPr>
    <w:rPr>
      <w:rFonts w:ascii="Arial" w:hAnsi="Arial" w:eastAsia="Arial" w:cs="Arial"/>
      <w:b/>
      <w:bCs/>
      <w:sz w:val="22"/>
    </w:rPr>
  </w:style>
  <w:style w:type="paragraph" w:customStyle="1" w:styleId="91">
    <w:name w:val="标题 711"/>
    <w:basedOn w:val="1"/>
    <w:next w:val="1"/>
    <w:link w:val="98"/>
    <w:qFormat/>
    <w:uiPriority w:val="9"/>
    <w:pPr>
      <w:keepNext/>
      <w:keepLines/>
      <w:spacing w:before="320" w:after="200"/>
      <w:outlineLvl w:val="6"/>
    </w:pPr>
    <w:rPr>
      <w:rFonts w:ascii="Arial" w:hAnsi="Arial" w:eastAsia="Arial" w:cs="Arial"/>
      <w:b/>
      <w:bCs/>
      <w:i/>
      <w:iCs/>
      <w:sz w:val="22"/>
    </w:rPr>
  </w:style>
  <w:style w:type="paragraph" w:customStyle="1" w:styleId="92">
    <w:name w:val="标题 811"/>
    <w:basedOn w:val="1"/>
    <w:next w:val="1"/>
    <w:link w:val="99"/>
    <w:qFormat/>
    <w:uiPriority w:val="9"/>
    <w:pPr>
      <w:keepNext/>
      <w:keepLines/>
      <w:spacing w:before="320" w:after="200"/>
      <w:outlineLvl w:val="7"/>
    </w:pPr>
    <w:rPr>
      <w:rFonts w:ascii="Arial" w:hAnsi="Arial" w:eastAsia="Arial" w:cs="Arial"/>
      <w:i/>
      <w:iCs/>
      <w:sz w:val="22"/>
    </w:rPr>
  </w:style>
  <w:style w:type="paragraph" w:customStyle="1" w:styleId="93">
    <w:name w:val="标题 911"/>
    <w:basedOn w:val="1"/>
    <w:next w:val="1"/>
    <w:link w:val="100"/>
    <w:qFormat/>
    <w:uiPriority w:val="9"/>
    <w:pPr>
      <w:keepNext/>
      <w:keepLines/>
      <w:spacing w:before="320" w:after="200"/>
      <w:outlineLvl w:val="8"/>
    </w:pPr>
    <w:rPr>
      <w:rFonts w:ascii="Arial" w:hAnsi="Arial" w:eastAsia="Arial" w:cs="Arial"/>
      <w:i/>
      <w:iCs/>
      <w:szCs w:val="21"/>
    </w:rPr>
  </w:style>
  <w:style w:type="character" w:customStyle="1" w:styleId="94">
    <w:name w:val="默认段落字体11"/>
    <w:unhideWhenUsed/>
    <w:qFormat/>
    <w:uiPriority w:val="1"/>
  </w:style>
  <w:style w:type="character" w:customStyle="1" w:styleId="95">
    <w:name w:val="标题 1 字符1"/>
    <w:link w:val="85"/>
    <w:qFormat/>
    <w:uiPriority w:val="9"/>
    <w:rPr>
      <w:rFonts w:ascii="Arial" w:hAnsi="Arial" w:eastAsia="Arial" w:cs="Arial"/>
      <w:sz w:val="40"/>
      <w:szCs w:val="40"/>
    </w:rPr>
  </w:style>
  <w:style w:type="character" w:customStyle="1" w:styleId="96">
    <w:name w:val="标题 5 字符"/>
    <w:link w:val="89"/>
    <w:qFormat/>
    <w:uiPriority w:val="9"/>
    <w:rPr>
      <w:rFonts w:ascii="Arial" w:hAnsi="Arial" w:eastAsia="Arial" w:cs="Arial"/>
      <w:b/>
      <w:bCs/>
      <w:sz w:val="24"/>
      <w:szCs w:val="24"/>
    </w:rPr>
  </w:style>
  <w:style w:type="character" w:customStyle="1" w:styleId="97">
    <w:name w:val="标题 6 字符"/>
    <w:link w:val="90"/>
    <w:qFormat/>
    <w:uiPriority w:val="9"/>
    <w:rPr>
      <w:rFonts w:ascii="Arial" w:hAnsi="Arial" w:eastAsia="Arial" w:cs="Arial"/>
      <w:b/>
      <w:bCs/>
      <w:sz w:val="22"/>
      <w:szCs w:val="22"/>
    </w:rPr>
  </w:style>
  <w:style w:type="character" w:customStyle="1" w:styleId="98">
    <w:name w:val="标题 7 字符"/>
    <w:link w:val="91"/>
    <w:qFormat/>
    <w:uiPriority w:val="9"/>
    <w:rPr>
      <w:rFonts w:ascii="Arial" w:hAnsi="Arial" w:eastAsia="Arial" w:cs="Arial"/>
      <w:b/>
      <w:bCs/>
      <w:i/>
      <w:iCs/>
      <w:sz w:val="22"/>
      <w:szCs w:val="22"/>
    </w:rPr>
  </w:style>
  <w:style w:type="character" w:customStyle="1" w:styleId="99">
    <w:name w:val="标题 8 字符"/>
    <w:link w:val="92"/>
    <w:qFormat/>
    <w:uiPriority w:val="9"/>
    <w:rPr>
      <w:rFonts w:ascii="Arial" w:hAnsi="Arial" w:eastAsia="Arial" w:cs="Arial"/>
      <w:i/>
      <w:iCs/>
      <w:sz w:val="22"/>
      <w:szCs w:val="22"/>
    </w:rPr>
  </w:style>
  <w:style w:type="character" w:customStyle="1" w:styleId="100">
    <w:name w:val="标题 9 字符"/>
    <w:link w:val="93"/>
    <w:qFormat/>
    <w:uiPriority w:val="9"/>
    <w:rPr>
      <w:rFonts w:ascii="Arial" w:hAnsi="Arial" w:eastAsia="Arial" w:cs="Arial"/>
      <w:i/>
      <w:iCs/>
      <w:sz w:val="21"/>
      <w:szCs w:val="21"/>
    </w:rPr>
  </w:style>
  <w:style w:type="paragraph" w:customStyle="1" w:styleId="101">
    <w:name w:val="题注11"/>
    <w:basedOn w:val="1"/>
    <w:next w:val="1"/>
    <w:qFormat/>
    <w:uiPriority w:val="35"/>
    <w:pPr>
      <w:spacing w:line="276" w:lineRule="auto"/>
    </w:pPr>
    <w:rPr>
      <w:b/>
      <w:bCs/>
      <w:color w:val="4F81BD"/>
      <w:sz w:val="18"/>
      <w:szCs w:val="18"/>
    </w:rPr>
  </w:style>
  <w:style w:type="paragraph" w:customStyle="1" w:styleId="102">
    <w:name w:val="正文文本缩进11"/>
    <w:basedOn w:val="1"/>
    <w:link w:val="103"/>
    <w:unhideWhenUsed/>
    <w:qFormat/>
    <w:uiPriority w:val="99"/>
    <w:pPr>
      <w:spacing w:after="120"/>
      <w:ind w:left="420"/>
    </w:pPr>
  </w:style>
  <w:style w:type="character" w:customStyle="1" w:styleId="103">
    <w:name w:val="正文文本缩进 字符"/>
    <w:link w:val="102"/>
    <w:semiHidden/>
    <w:qFormat/>
    <w:uiPriority w:val="99"/>
    <w:rPr>
      <w:rFonts w:ascii="Calibri" w:hAnsi="Calibri"/>
      <w:sz w:val="21"/>
      <w:szCs w:val="22"/>
    </w:rPr>
  </w:style>
  <w:style w:type="paragraph" w:customStyle="1" w:styleId="104">
    <w:name w:val="尾注文本11"/>
    <w:basedOn w:val="1"/>
    <w:link w:val="105"/>
    <w:unhideWhenUsed/>
    <w:qFormat/>
    <w:uiPriority w:val="99"/>
    <w:rPr>
      <w:sz w:val="20"/>
    </w:rPr>
  </w:style>
  <w:style w:type="character" w:customStyle="1" w:styleId="105">
    <w:name w:val="尾注文本 字符"/>
    <w:link w:val="104"/>
    <w:qFormat/>
    <w:uiPriority w:val="99"/>
    <w:rPr>
      <w:sz w:val="20"/>
    </w:rPr>
  </w:style>
  <w:style w:type="paragraph" w:customStyle="1" w:styleId="106">
    <w:name w:val="页脚11"/>
    <w:basedOn w:val="1"/>
    <w:link w:val="107"/>
    <w:unhideWhenUsed/>
    <w:qFormat/>
    <w:uiPriority w:val="99"/>
    <w:pPr>
      <w:tabs>
        <w:tab w:val="center" w:pos="7143"/>
        <w:tab w:val="right" w:pos="14287"/>
      </w:tabs>
    </w:pPr>
  </w:style>
  <w:style w:type="character" w:customStyle="1" w:styleId="107">
    <w:name w:val="页脚 字符"/>
    <w:link w:val="106"/>
    <w:qFormat/>
    <w:uiPriority w:val="99"/>
  </w:style>
  <w:style w:type="paragraph" w:customStyle="1" w:styleId="108">
    <w:name w:val="页眉11"/>
    <w:basedOn w:val="1"/>
    <w:unhideWhenUsed/>
    <w:qFormat/>
    <w:uiPriority w:val="99"/>
    <w:pPr>
      <w:tabs>
        <w:tab w:val="center" w:pos="7143"/>
        <w:tab w:val="right" w:pos="14287"/>
      </w:tabs>
    </w:pPr>
  </w:style>
  <w:style w:type="paragraph" w:customStyle="1" w:styleId="109">
    <w:name w:val="副标题1"/>
    <w:basedOn w:val="1"/>
    <w:next w:val="1"/>
    <w:link w:val="110"/>
    <w:qFormat/>
    <w:uiPriority w:val="11"/>
    <w:pPr>
      <w:spacing w:before="200" w:after="200"/>
    </w:pPr>
    <w:rPr>
      <w:sz w:val="24"/>
      <w:szCs w:val="24"/>
    </w:rPr>
  </w:style>
  <w:style w:type="character" w:customStyle="1" w:styleId="110">
    <w:name w:val="副标题 字符"/>
    <w:link w:val="109"/>
    <w:qFormat/>
    <w:uiPriority w:val="11"/>
    <w:rPr>
      <w:sz w:val="24"/>
      <w:szCs w:val="24"/>
    </w:rPr>
  </w:style>
  <w:style w:type="paragraph" w:customStyle="1" w:styleId="111">
    <w:name w:val="脚注文本11"/>
    <w:basedOn w:val="1"/>
    <w:link w:val="112"/>
    <w:unhideWhenUsed/>
    <w:qFormat/>
    <w:uiPriority w:val="99"/>
    <w:pPr>
      <w:spacing w:after="40"/>
    </w:pPr>
    <w:rPr>
      <w:sz w:val="18"/>
    </w:rPr>
  </w:style>
  <w:style w:type="character" w:customStyle="1" w:styleId="112">
    <w:name w:val="脚注文本 字符"/>
    <w:link w:val="111"/>
    <w:qFormat/>
    <w:uiPriority w:val="99"/>
    <w:rPr>
      <w:sz w:val="18"/>
    </w:rPr>
  </w:style>
  <w:style w:type="paragraph" w:customStyle="1" w:styleId="113">
    <w:name w:val="图表目录12"/>
    <w:basedOn w:val="1"/>
    <w:next w:val="1"/>
    <w:unhideWhenUsed/>
    <w:qFormat/>
    <w:uiPriority w:val="99"/>
  </w:style>
  <w:style w:type="paragraph" w:customStyle="1" w:styleId="114">
    <w:name w:val="普通(网站)11"/>
    <w:basedOn w:val="1"/>
    <w:qFormat/>
    <w:uiPriority w:val="99"/>
    <w:rPr>
      <w:sz w:val="24"/>
    </w:rPr>
  </w:style>
  <w:style w:type="paragraph" w:customStyle="1" w:styleId="115">
    <w:name w:val="标题11"/>
    <w:basedOn w:val="1"/>
    <w:next w:val="1"/>
    <w:link w:val="116"/>
    <w:qFormat/>
    <w:uiPriority w:val="10"/>
    <w:pPr>
      <w:spacing w:before="300" w:after="200"/>
      <w:contextualSpacing/>
    </w:pPr>
    <w:rPr>
      <w:sz w:val="48"/>
      <w:szCs w:val="48"/>
    </w:rPr>
  </w:style>
  <w:style w:type="character" w:customStyle="1" w:styleId="116">
    <w:name w:val="标题 字符"/>
    <w:link w:val="115"/>
    <w:qFormat/>
    <w:uiPriority w:val="10"/>
    <w:rPr>
      <w:sz w:val="48"/>
      <w:szCs w:val="48"/>
    </w:rPr>
  </w:style>
  <w:style w:type="paragraph" w:customStyle="1" w:styleId="117">
    <w:name w:val="正文文本首行缩进 21"/>
    <w:basedOn w:val="102"/>
    <w:qFormat/>
    <w:uiPriority w:val="0"/>
    <w:pPr>
      <w:spacing w:after="0" w:line="360" w:lineRule="auto"/>
      <w:ind w:left="0" w:firstLine="420"/>
    </w:pPr>
    <w:rPr>
      <w:rFonts w:ascii="宋体" w:hAnsi="宋体"/>
      <w:szCs w:val="20"/>
    </w:rPr>
  </w:style>
  <w:style w:type="table" w:customStyle="1" w:styleId="118">
    <w:name w:val="网格型11"/>
    <w:qFormat/>
    <w:uiPriority w:val="59"/>
    <w:tblPr>
      <w:tblCellMar>
        <w:top w:w="0" w:type="dxa"/>
        <w:left w:w="0" w:type="dxa"/>
        <w:bottom w:w="0" w:type="dxa"/>
        <w:right w:w="0" w:type="dxa"/>
      </w:tblCellMar>
    </w:tblPr>
  </w:style>
  <w:style w:type="character" w:customStyle="1" w:styleId="119">
    <w:name w:val="要点11"/>
    <w:qFormat/>
    <w:uiPriority w:val="22"/>
    <w:rPr>
      <w:b/>
      <w:bCs/>
    </w:rPr>
  </w:style>
  <w:style w:type="character" w:customStyle="1" w:styleId="120">
    <w:name w:val="尾注引用11"/>
    <w:unhideWhenUsed/>
    <w:qFormat/>
    <w:uiPriority w:val="99"/>
    <w:rPr>
      <w:vertAlign w:val="superscript"/>
    </w:rPr>
  </w:style>
  <w:style w:type="character" w:customStyle="1" w:styleId="121">
    <w:name w:val="超链接11"/>
    <w:unhideWhenUsed/>
    <w:qFormat/>
    <w:uiPriority w:val="99"/>
    <w:rPr>
      <w:color w:val="0000FF"/>
      <w:u w:val="single"/>
    </w:rPr>
  </w:style>
  <w:style w:type="character" w:customStyle="1" w:styleId="122">
    <w:name w:val="脚注引用11"/>
    <w:unhideWhenUsed/>
    <w:qFormat/>
    <w:uiPriority w:val="99"/>
    <w:rPr>
      <w:vertAlign w:val="superscript"/>
    </w:rPr>
  </w:style>
  <w:style w:type="paragraph" w:customStyle="1" w:styleId="123">
    <w:name w:val="TOC 标题112"/>
    <w:unhideWhenUsed/>
    <w:qFormat/>
    <w:uiPriority w:val="39"/>
    <w:rPr>
      <w:rFonts w:ascii="Times New Roman" w:hAnsi="Times New Roman" w:eastAsia="宋体" w:cs="Times New Roman"/>
      <w:lang w:val="en-US" w:eastAsia="zh-CN" w:bidi="ar-SA"/>
    </w:rPr>
  </w:style>
  <w:style w:type="character" w:customStyle="1" w:styleId="124">
    <w:name w:val="Heading 1 Char"/>
    <w:qFormat/>
    <w:uiPriority w:val="9"/>
    <w:rPr>
      <w:rFonts w:ascii="Arial" w:hAnsi="Arial" w:eastAsia="Arial" w:cs="Arial"/>
      <w:sz w:val="40"/>
      <w:szCs w:val="40"/>
    </w:rPr>
  </w:style>
  <w:style w:type="character" w:customStyle="1" w:styleId="125">
    <w:name w:val="Heading 5 Char"/>
    <w:qFormat/>
    <w:uiPriority w:val="9"/>
    <w:rPr>
      <w:rFonts w:ascii="Arial" w:hAnsi="Arial" w:eastAsia="Arial" w:cs="Arial"/>
      <w:b/>
      <w:bCs/>
      <w:sz w:val="24"/>
      <w:szCs w:val="24"/>
    </w:rPr>
  </w:style>
  <w:style w:type="character" w:customStyle="1" w:styleId="126">
    <w:name w:val="Heading 6 Char"/>
    <w:qFormat/>
    <w:uiPriority w:val="9"/>
    <w:rPr>
      <w:rFonts w:ascii="Arial" w:hAnsi="Arial" w:eastAsia="Arial" w:cs="Arial"/>
      <w:b/>
      <w:bCs/>
      <w:sz w:val="22"/>
      <w:szCs w:val="22"/>
    </w:rPr>
  </w:style>
  <w:style w:type="character" w:customStyle="1" w:styleId="127">
    <w:name w:val="Heading 7 Char"/>
    <w:qFormat/>
    <w:uiPriority w:val="9"/>
    <w:rPr>
      <w:rFonts w:ascii="Arial" w:hAnsi="Arial" w:eastAsia="Arial" w:cs="Arial"/>
      <w:b/>
      <w:bCs/>
      <w:i/>
      <w:iCs/>
      <w:sz w:val="22"/>
      <w:szCs w:val="22"/>
    </w:rPr>
  </w:style>
  <w:style w:type="character" w:customStyle="1" w:styleId="128">
    <w:name w:val="Heading 8 Char"/>
    <w:qFormat/>
    <w:uiPriority w:val="9"/>
    <w:rPr>
      <w:rFonts w:ascii="Arial" w:hAnsi="Arial" w:eastAsia="Arial" w:cs="Arial"/>
      <w:i/>
      <w:iCs/>
      <w:sz w:val="22"/>
      <w:szCs w:val="22"/>
    </w:rPr>
  </w:style>
  <w:style w:type="character" w:customStyle="1" w:styleId="129">
    <w:name w:val="Heading 9 Char"/>
    <w:qFormat/>
    <w:uiPriority w:val="9"/>
    <w:rPr>
      <w:rFonts w:ascii="Arial" w:hAnsi="Arial" w:eastAsia="Arial" w:cs="Arial"/>
      <w:i/>
      <w:iCs/>
      <w:sz w:val="21"/>
      <w:szCs w:val="21"/>
    </w:rPr>
  </w:style>
  <w:style w:type="character" w:customStyle="1" w:styleId="130">
    <w:name w:val="Title Char"/>
    <w:qFormat/>
    <w:uiPriority w:val="10"/>
    <w:rPr>
      <w:sz w:val="48"/>
      <w:szCs w:val="48"/>
    </w:rPr>
  </w:style>
  <w:style w:type="character" w:customStyle="1" w:styleId="131">
    <w:name w:val="Subtitle Char"/>
    <w:qFormat/>
    <w:uiPriority w:val="11"/>
    <w:rPr>
      <w:sz w:val="24"/>
      <w:szCs w:val="24"/>
    </w:rPr>
  </w:style>
  <w:style w:type="character" w:customStyle="1" w:styleId="132">
    <w:name w:val="Quote Char"/>
    <w:qFormat/>
    <w:uiPriority w:val="29"/>
    <w:rPr>
      <w:i/>
    </w:rPr>
  </w:style>
  <w:style w:type="character" w:customStyle="1" w:styleId="133">
    <w:name w:val="Intense Quote Char"/>
    <w:qFormat/>
    <w:uiPriority w:val="30"/>
    <w:rPr>
      <w:i/>
    </w:rPr>
  </w:style>
  <w:style w:type="character" w:customStyle="1" w:styleId="134">
    <w:name w:val="Caption Char"/>
    <w:qFormat/>
    <w:uiPriority w:val="99"/>
  </w:style>
  <w:style w:type="character" w:customStyle="1" w:styleId="135">
    <w:name w:val="Footnote Text Char"/>
    <w:qFormat/>
    <w:uiPriority w:val="99"/>
    <w:rPr>
      <w:sz w:val="18"/>
    </w:rPr>
  </w:style>
  <w:style w:type="character" w:customStyle="1" w:styleId="136">
    <w:name w:val="Endnote Text Char"/>
    <w:qFormat/>
    <w:uiPriority w:val="99"/>
    <w:rPr>
      <w:sz w:val="20"/>
    </w:rPr>
  </w:style>
  <w:style w:type="paragraph" w:customStyle="1" w:styleId="137">
    <w:name w:val="TOC 标题111"/>
    <w:unhideWhenUsed/>
    <w:qFormat/>
    <w:uiPriority w:val="39"/>
    <w:rPr>
      <w:rFonts w:ascii="Times New Roman" w:hAnsi="Times New Roman" w:eastAsia="宋体" w:cs="Times New Roman"/>
      <w:lang w:val="en-US" w:eastAsia="zh-CN" w:bidi="ar-SA"/>
    </w:rPr>
  </w:style>
  <w:style w:type="paragraph" w:customStyle="1" w:styleId="138">
    <w:name w:val="无间隔1"/>
    <w:qFormat/>
    <w:uiPriority w:val="1"/>
    <w:rPr>
      <w:rFonts w:ascii="Times New Roman" w:hAnsi="Times New Roman" w:eastAsia="宋体" w:cs="Times New Roman"/>
      <w:lang w:val="en-US" w:eastAsia="zh-CN" w:bidi="ar-SA"/>
    </w:rPr>
  </w:style>
  <w:style w:type="paragraph" w:customStyle="1" w:styleId="139">
    <w:name w:val="引用1"/>
    <w:basedOn w:val="1"/>
    <w:next w:val="1"/>
    <w:link w:val="140"/>
    <w:qFormat/>
    <w:uiPriority w:val="29"/>
    <w:pPr>
      <w:ind w:left="720" w:right="720"/>
    </w:pPr>
    <w:rPr>
      <w:i/>
    </w:rPr>
  </w:style>
  <w:style w:type="character" w:customStyle="1" w:styleId="140">
    <w:name w:val="引用 字符"/>
    <w:link w:val="139"/>
    <w:qFormat/>
    <w:uiPriority w:val="29"/>
    <w:rPr>
      <w:i/>
    </w:rPr>
  </w:style>
  <w:style w:type="paragraph" w:customStyle="1" w:styleId="141">
    <w:name w:val="明显引用1"/>
    <w:basedOn w:val="1"/>
    <w:next w:val="1"/>
    <w:link w:val="14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42">
    <w:name w:val="明显引用 字符"/>
    <w:link w:val="141"/>
    <w:qFormat/>
    <w:uiPriority w:val="30"/>
    <w:rPr>
      <w:i/>
    </w:rPr>
  </w:style>
  <w:style w:type="table" w:customStyle="1" w:styleId="143">
    <w:name w:val="Table Grid Light"/>
    <w:qFormat/>
    <w:uiPriority w:val="59"/>
    <w:tblPr>
      <w:tblCellMar>
        <w:top w:w="0" w:type="dxa"/>
        <w:left w:w="0" w:type="dxa"/>
        <w:bottom w:w="0" w:type="dxa"/>
        <w:right w:w="0" w:type="dxa"/>
      </w:tblCellMar>
    </w:tblPr>
  </w:style>
  <w:style w:type="table" w:customStyle="1" w:styleId="144">
    <w:name w:val="Grid Table 1 Light - Accent 1"/>
    <w:qFormat/>
    <w:uiPriority w:val="99"/>
    <w:tblPr>
      <w:tblCellMar>
        <w:top w:w="0" w:type="dxa"/>
        <w:left w:w="0" w:type="dxa"/>
        <w:bottom w:w="0" w:type="dxa"/>
        <w:right w:w="0" w:type="dxa"/>
      </w:tblCellMar>
    </w:tblPr>
  </w:style>
  <w:style w:type="table" w:customStyle="1" w:styleId="145">
    <w:name w:val="Grid Table 1 Light - Accent 2"/>
    <w:qFormat/>
    <w:uiPriority w:val="99"/>
    <w:tblPr>
      <w:tblCellMar>
        <w:top w:w="0" w:type="dxa"/>
        <w:left w:w="0" w:type="dxa"/>
        <w:bottom w:w="0" w:type="dxa"/>
        <w:right w:w="0" w:type="dxa"/>
      </w:tblCellMar>
    </w:tblPr>
  </w:style>
  <w:style w:type="table" w:customStyle="1" w:styleId="146">
    <w:name w:val="Grid Table 1 Light - Accent 3"/>
    <w:qFormat/>
    <w:uiPriority w:val="99"/>
    <w:tblPr>
      <w:tblCellMar>
        <w:top w:w="0" w:type="dxa"/>
        <w:left w:w="0" w:type="dxa"/>
        <w:bottom w:w="0" w:type="dxa"/>
        <w:right w:w="0" w:type="dxa"/>
      </w:tblCellMar>
    </w:tblPr>
  </w:style>
  <w:style w:type="table" w:customStyle="1" w:styleId="147">
    <w:name w:val="Grid Table 1 Light - Accent 4"/>
    <w:qFormat/>
    <w:uiPriority w:val="99"/>
    <w:tblPr>
      <w:tblCellMar>
        <w:top w:w="0" w:type="dxa"/>
        <w:left w:w="0" w:type="dxa"/>
        <w:bottom w:w="0" w:type="dxa"/>
        <w:right w:w="0" w:type="dxa"/>
      </w:tblCellMar>
    </w:tblPr>
  </w:style>
  <w:style w:type="table" w:customStyle="1" w:styleId="148">
    <w:name w:val="Grid Table 1 Light - Accent 5"/>
    <w:qFormat/>
    <w:uiPriority w:val="99"/>
    <w:tblPr>
      <w:tblCellMar>
        <w:top w:w="0" w:type="dxa"/>
        <w:left w:w="0" w:type="dxa"/>
        <w:bottom w:w="0" w:type="dxa"/>
        <w:right w:w="0" w:type="dxa"/>
      </w:tblCellMar>
    </w:tblPr>
  </w:style>
  <w:style w:type="table" w:customStyle="1" w:styleId="149">
    <w:name w:val="Grid Table 1 Light - Accent 6"/>
    <w:qFormat/>
    <w:uiPriority w:val="99"/>
    <w:tblPr>
      <w:tblCellMar>
        <w:top w:w="0" w:type="dxa"/>
        <w:left w:w="0" w:type="dxa"/>
        <w:bottom w:w="0" w:type="dxa"/>
        <w:right w:w="0" w:type="dxa"/>
      </w:tblCellMar>
    </w:tblPr>
  </w:style>
  <w:style w:type="table" w:customStyle="1" w:styleId="150">
    <w:name w:val="Grid Table 2 - Accent 1"/>
    <w:qFormat/>
    <w:uiPriority w:val="99"/>
    <w:tblPr>
      <w:tblCellMar>
        <w:top w:w="0" w:type="dxa"/>
        <w:left w:w="0" w:type="dxa"/>
        <w:bottom w:w="0" w:type="dxa"/>
        <w:right w:w="0" w:type="dxa"/>
      </w:tblCellMar>
    </w:tblPr>
  </w:style>
  <w:style w:type="table" w:customStyle="1" w:styleId="151">
    <w:name w:val="Grid Table 2 - Accent 2"/>
    <w:qFormat/>
    <w:uiPriority w:val="99"/>
    <w:tblPr>
      <w:tblCellMar>
        <w:top w:w="0" w:type="dxa"/>
        <w:left w:w="0" w:type="dxa"/>
        <w:bottom w:w="0" w:type="dxa"/>
        <w:right w:w="0" w:type="dxa"/>
      </w:tblCellMar>
    </w:tblPr>
  </w:style>
  <w:style w:type="table" w:customStyle="1" w:styleId="152">
    <w:name w:val="Grid Table 2 - Accent 3"/>
    <w:qFormat/>
    <w:uiPriority w:val="99"/>
    <w:tblPr>
      <w:tblCellMar>
        <w:top w:w="0" w:type="dxa"/>
        <w:left w:w="0" w:type="dxa"/>
        <w:bottom w:w="0" w:type="dxa"/>
        <w:right w:w="0" w:type="dxa"/>
      </w:tblCellMar>
    </w:tblPr>
  </w:style>
  <w:style w:type="table" w:customStyle="1" w:styleId="153">
    <w:name w:val="Grid Table 2 - Accent 4"/>
    <w:qFormat/>
    <w:uiPriority w:val="99"/>
    <w:tblPr>
      <w:tblCellMar>
        <w:top w:w="0" w:type="dxa"/>
        <w:left w:w="0" w:type="dxa"/>
        <w:bottom w:w="0" w:type="dxa"/>
        <w:right w:w="0" w:type="dxa"/>
      </w:tblCellMar>
    </w:tblPr>
  </w:style>
  <w:style w:type="table" w:customStyle="1" w:styleId="154">
    <w:name w:val="Grid Table 2 - Accent 5"/>
    <w:qFormat/>
    <w:uiPriority w:val="99"/>
    <w:tblPr>
      <w:tblCellMar>
        <w:top w:w="0" w:type="dxa"/>
        <w:left w:w="0" w:type="dxa"/>
        <w:bottom w:w="0" w:type="dxa"/>
        <w:right w:w="0" w:type="dxa"/>
      </w:tblCellMar>
    </w:tblPr>
  </w:style>
  <w:style w:type="table" w:customStyle="1" w:styleId="155">
    <w:name w:val="Grid Table 2 - Accent 6"/>
    <w:qFormat/>
    <w:uiPriority w:val="99"/>
    <w:tblPr>
      <w:tblCellMar>
        <w:top w:w="0" w:type="dxa"/>
        <w:left w:w="0" w:type="dxa"/>
        <w:bottom w:w="0" w:type="dxa"/>
        <w:right w:w="0" w:type="dxa"/>
      </w:tblCellMar>
    </w:tblPr>
  </w:style>
  <w:style w:type="table" w:customStyle="1" w:styleId="156">
    <w:name w:val="Grid Table 3 - Accent 1"/>
    <w:qFormat/>
    <w:uiPriority w:val="99"/>
    <w:tblPr>
      <w:tblCellMar>
        <w:top w:w="0" w:type="dxa"/>
        <w:left w:w="0" w:type="dxa"/>
        <w:bottom w:w="0" w:type="dxa"/>
        <w:right w:w="0" w:type="dxa"/>
      </w:tblCellMar>
    </w:tblPr>
  </w:style>
  <w:style w:type="table" w:customStyle="1" w:styleId="157">
    <w:name w:val="Grid Table 3 - Accent 2"/>
    <w:qFormat/>
    <w:uiPriority w:val="99"/>
    <w:tblPr>
      <w:tblCellMar>
        <w:top w:w="0" w:type="dxa"/>
        <w:left w:w="0" w:type="dxa"/>
        <w:bottom w:w="0" w:type="dxa"/>
        <w:right w:w="0" w:type="dxa"/>
      </w:tblCellMar>
    </w:tblPr>
  </w:style>
  <w:style w:type="table" w:customStyle="1" w:styleId="158">
    <w:name w:val="Grid Table 3 - Accent 3"/>
    <w:qFormat/>
    <w:uiPriority w:val="99"/>
    <w:tblPr>
      <w:tblCellMar>
        <w:top w:w="0" w:type="dxa"/>
        <w:left w:w="0" w:type="dxa"/>
        <w:bottom w:w="0" w:type="dxa"/>
        <w:right w:w="0" w:type="dxa"/>
      </w:tblCellMar>
    </w:tblPr>
  </w:style>
  <w:style w:type="table" w:customStyle="1" w:styleId="159">
    <w:name w:val="Grid Table 3 - Accent 4"/>
    <w:qFormat/>
    <w:uiPriority w:val="99"/>
    <w:tblPr>
      <w:tblCellMar>
        <w:top w:w="0" w:type="dxa"/>
        <w:left w:w="0" w:type="dxa"/>
        <w:bottom w:w="0" w:type="dxa"/>
        <w:right w:w="0" w:type="dxa"/>
      </w:tblCellMar>
    </w:tblPr>
  </w:style>
  <w:style w:type="table" w:customStyle="1" w:styleId="160">
    <w:name w:val="Grid Table 3 - Accent 5"/>
    <w:qFormat/>
    <w:uiPriority w:val="99"/>
    <w:tblPr>
      <w:tblCellMar>
        <w:top w:w="0" w:type="dxa"/>
        <w:left w:w="0" w:type="dxa"/>
        <w:bottom w:w="0" w:type="dxa"/>
        <w:right w:w="0" w:type="dxa"/>
      </w:tblCellMar>
    </w:tblPr>
  </w:style>
  <w:style w:type="table" w:customStyle="1" w:styleId="161">
    <w:name w:val="Grid Table 3 - Accent 6"/>
    <w:qFormat/>
    <w:uiPriority w:val="99"/>
    <w:tblPr>
      <w:tblCellMar>
        <w:top w:w="0" w:type="dxa"/>
        <w:left w:w="0" w:type="dxa"/>
        <w:bottom w:w="0" w:type="dxa"/>
        <w:right w:w="0" w:type="dxa"/>
      </w:tblCellMar>
    </w:tblPr>
  </w:style>
  <w:style w:type="table" w:customStyle="1" w:styleId="162">
    <w:name w:val="Grid Table 4 - Accent 1"/>
    <w:qFormat/>
    <w:uiPriority w:val="59"/>
    <w:tblPr>
      <w:tblCellMar>
        <w:top w:w="0" w:type="dxa"/>
        <w:left w:w="0" w:type="dxa"/>
        <w:bottom w:w="0" w:type="dxa"/>
        <w:right w:w="0" w:type="dxa"/>
      </w:tblCellMar>
    </w:tblPr>
  </w:style>
  <w:style w:type="table" w:customStyle="1" w:styleId="163">
    <w:name w:val="Grid Table 4 - Accent 2"/>
    <w:qFormat/>
    <w:uiPriority w:val="59"/>
    <w:tblPr>
      <w:tblCellMar>
        <w:top w:w="0" w:type="dxa"/>
        <w:left w:w="0" w:type="dxa"/>
        <w:bottom w:w="0" w:type="dxa"/>
        <w:right w:w="0" w:type="dxa"/>
      </w:tblCellMar>
    </w:tblPr>
  </w:style>
  <w:style w:type="table" w:customStyle="1" w:styleId="164">
    <w:name w:val="Grid Table 4 - Accent 3"/>
    <w:qFormat/>
    <w:uiPriority w:val="59"/>
    <w:tblPr>
      <w:tblCellMar>
        <w:top w:w="0" w:type="dxa"/>
        <w:left w:w="0" w:type="dxa"/>
        <w:bottom w:w="0" w:type="dxa"/>
        <w:right w:w="0" w:type="dxa"/>
      </w:tblCellMar>
    </w:tblPr>
  </w:style>
  <w:style w:type="table" w:customStyle="1" w:styleId="165">
    <w:name w:val="Grid Table 4 - Accent 4"/>
    <w:qFormat/>
    <w:uiPriority w:val="59"/>
    <w:tblPr>
      <w:tblCellMar>
        <w:top w:w="0" w:type="dxa"/>
        <w:left w:w="0" w:type="dxa"/>
        <w:bottom w:w="0" w:type="dxa"/>
        <w:right w:w="0" w:type="dxa"/>
      </w:tblCellMar>
    </w:tblPr>
  </w:style>
  <w:style w:type="table" w:customStyle="1" w:styleId="166">
    <w:name w:val="Grid Table 4 - Accent 5"/>
    <w:qFormat/>
    <w:uiPriority w:val="59"/>
    <w:tblPr>
      <w:tblCellMar>
        <w:top w:w="0" w:type="dxa"/>
        <w:left w:w="0" w:type="dxa"/>
        <w:bottom w:w="0" w:type="dxa"/>
        <w:right w:w="0" w:type="dxa"/>
      </w:tblCellMar>
    </w:tblPr>
  </w:style>
  <w:style w:type="table" w:customStyle="1" w:styleId="167">
    <w:name w:val="Grid Table 4 - Accent 6"/>
    <w:qFormat/>
    <w:uiPriority w:val="59"/>
    <w:tblPr>
      <w:tblCellMar>
        <w:top w:w="0" w:type="dxa"/>
        <w:left w:w="0" w:type="dxa"/>
        <w:bottom w:w="0" w:type="dxa"/>
        <w:right w:w="0" w:type="dxa"/>
      </w:tblCellMar>
    </w:tblPr>
  </w:style>
  <w:style w:type="table" w:customStyle="1" w:styleId="168">
    <w:name w:val="Grid Table 5 Dark- Accent 1"/>
    <w:qFormat/>
    <w:uiPriority w:val="99"/>
    <w:tblPr>
      <w:tblCellMar>
        <w:top w:w="0" w:type="dxa"/>
        <w:left w:w="0" w:type="dxa"/>
        <w:bottom w:w="0" w:type="dxa"/>
        <w:right w:w="0" w:type="dxa"/>
      </w:tblCellMar>
    </w:tblPr>
  </w:style>
  <w:style w:type="table" w:customStyle="1" w:styleId="169">
    <w:name w:val="Grid Table 5 Dark - Accent 2"/>
    <w:qFormat/>
    <w:uiPriority w:val="99"/>
    <w:tblPr>
      <w:tblCellMar>
        <w:top w:w="0" w:type="dxa"/>
        <w:left w:w="0" w:type="dxa"/>
        <w:bottom w:w="0" w:type="dxa"/>
        <w:right w:w="0" w:type="dxa"/>
      </w:tblCellMar>
    </w:tblPr>
  </w:style>
  <w:style w:type="table" w:customStyle="1" w:styleId="170">
    <w:name w:val="Grid Table 5 Dark - Accent 3"/>
    <w:qFormat/>
    <w:uiPriority w:val="99"/>
    <w:tblPr>
      <w:tblCellMar>
        <w:top w:w="0" w:type="dxa"/>
        <w:left w:w="0" w:type="dxa"/>
        <w:bottom w:w="0" w:type="dxa"/>
        <w:right w:w="0" w:type="dxa"/>
      </w:tblCellMar>
    </w:tblPr>
  </w:style>
  <w:style w:type="table" w:customStyle="1" w:styleId="171">
    <w:name w:val="Grid Table 5 Dark- Accent 4"/>
    <w:qFormat/>
    <w:uiPriority w:val="99"/>
    <w:tblPr>
      <w:tblCellMar>
        <w:top w:w="0" w:type="dxa"/>
        <w:left w:w="0" w:type="dxa"/>
        <w:bottom w:w="0" w:type="dxa"/>
        <w:right w:w="0" w:type="dxa"/>
      </w:tblCellMar>
    </w:tblPr>
  </w:style>
  <w:style w:type="table" w:customStyle="1" w:styleId="172">
    <w:name w:val="Grid Table 5 Dark - Accent 5"/>
    <w:qFormat/>
    <w:uiPriority w:val="99"/>
    <w:tblPr>
      <w:tblCellMar>
        <w:top w:w="0" w:type="dxa"/>
        <w:left w:w="0" w:type="dxa"/>
        <w:bottom w:w="0" w:type="dxa"/>
        <w:right w:w="0" w:type="dxa"/>
      </w:tblCellMar>
    </w:tblPr>
  </w:style>
  <w:style w:type="table" w:customStyle="1" w:styleId="173">
    <w:name w:val="Grid Table 5 Dark - Accent 6"/>
    <w:qFormat/>
    <w:uiPriority w:val="99"/>
    <w:tblPr>
      <w:tblCellMar>
        <w:top w:w="0" w:type="dxa"/>
        <w:left w:w="0" w:type="dxa"/>
        <w:bottom w:w="0" w:type="dxa"/>
        <w:right w:w="0" w:type="dxa"/>
      </w:tblCellMar>
    </w:tblPr>
  </w:style>
  <w:style w:type="table" w:customStyle="1" w:styleId="174">
    <w:name w:val="Grid Table 6 Colorful - Accent 1"/>
    <w:qFormat/>
    <w:uiPriority w:val="99"/>
    <w:tblPr>
      <w:tblCellMar>
        <w:top w:w="0" w:type="dxa"/>
        <w:left w:w="0" w:type="dxa"/>
        <w:bottom w:w="0" w:type="dxa"/>
        <w:right w:w="0" w:type="dxa"/>
      </w:tblCellMar>
    </w:tblPr>
  </w:style>
  <w:style w:type="table" w:customStyle="1" w:styleId="175">
    <w:name w:val="Grid Table 6 Colorful - Accent 2"/>
    <w:qFormat/>
    <w:uiPriority w:val="99"/>
    <w:tblPr>
      <w:tblCellMar>
        <w:top w:w="0" w:type="dxa"/>
        <w:left w:w="0" w:type="dxa"/>
        <w:bottom w:w="0" w:type="dxa"/>
        <w:right w:w="0" w:type="dxa"/>
      </w:tblCellMar>
    </w:tblPr>
  </w:style>
  <w:style w:type="table" w:customStyle="1" w:styleId="176">
    <w:name w:val="Grid Table 6 Colorful - Accent 3"/>
    <w:qFormat/>
    <w:uiPriority w:val="99"/>
    <w:tblPr>
      <w:tblCellMar>
        <w:top w:w="0" w:type="dxa"/>
        <w:left w:w="0" w:type="dxa"/>
        <w:bottom w:w="0" w:type="dxa"/>
        <w:right w:w="0" w:type="dxa"/>
      </w:tblCellMar>
    </w:tblPr>
  </w:style>
  <w:style w:type="table" w:customStyle="1" w:styleId="177">
    <w:name w:val="Grid Table 6 Colorful - Accent 4"/>
    <w:qFormat/>
    <w:uiPriority w:val="99"/>
    <w:tblPr>
      <w:tblCellMar>
        <w:top w:w="0" w:type="dxa"/>
        <w:left w:w="0" w:type="dxa"/>
        <w:bottom w:w="0" w:type="dxa"/>
        <w:right w:w="0" w:type="dxa"/>
      </w:tblCellMar>
    </w:tblPr>
  </w:style>
  <w:style w:type="table" w:customStyle="1" w:styleId="178">
    <w:name w:val="Grid Table 6 Colorful - Accent 5"/>
    <w:qFormat/>
    <w:uiPriority w:val="99"/>
    <w:tblPr>
      <w:tblCellMar>
        <w:top w:w="0" w:type="dxa"/>
        <w:left w:w="0" w:type="dxa"/>
        <w:bottom w:w="0" w:type="dxa"/>
        <w:right w:w="0" w:type="dxa"/>
      </w:tblCellMar>
    </w:tblPr>
  </w:style>
  <w:style w:type="table" w:customStyle="1" w:styleId="179">
    <w:name w:val="Grid Table 6 Colorful - Accent 6"/>
    <w:qFormat/>
    <w:uiPriority w:val="99"/>
    <w:tblPr>
      <w:tblCellMar>
        <w:top w:w="0" w:type="dxa"/>
        <w:left w:w="0" w:type="dxa"/>
        <w:bottom w:w="0" w:type="dxa"/>
        <w:right w:w="0" w:type="dxa"/>
      </w:tblCellMar>
    </w:tblPr>
  </w:style>
  <w:style w:type="table" w:customStyle="1" w:styleId="180">
    <w:name w:val="Grid Table 7 Colorful - Accent 1"/>
    <w:qFormat/>
    <w:uiPriority w:val="99"/>
    <w:tblPr>
      <w:tblCellMar>
        <w:top w:w="0" w:type="dxa"/>
        <w:left w:w="0" w:type="dxa"/>
        <w:bottom w:w="0" w:type="dxa"/>
        <w:right w:w="0" w:type="dxa"/>
      </w:tblCellMar>
    </w:tblPr>
  </w:style>
  <w:style w:type="table" w:customStyle="1" w:styleId="181">
    <w:name w:val="Grid Table 7 Colorful - Accent 2"/>
    <w:qFormat/>
    <w:uiPriority w:val="99"/>
    <w:tblPr>
      <w:tblCellMar>
        <w:top w:w="0" w:type="dxa"/>
        <w:left w:w="0" w:type="dxa"/>
        <w:bottom w:w="0" w:type="dxa"/>
        <w:right w:w="0" w:type="dxa"/>
      </w:tblCellMar>
    </w:tblPr>
  </w:style>
  <w:style w:type="table" w:customStyle="1" w:styleId="182">
    <w:name w:val="Grid Table 7 Colorful - Accent 3"/>
    <w:qFormat/>
    <w:uiPriority w:val="99"/>
    <w:tblPr>
      <w:tblCellMar>
        <w:top w:w="0" w:type="dxa"/>
        <w:left w:w="0" w:type="dxa"/>
        <w:bottom w:w="0" w:type="dxa"/>
        <w:right w:w="0" w:type="dxa"/>
      </w:tblCellMar>
    </w:tblPr>
  </w:style>
  <w:style w:type="table" w:customStyle="1" w:styleId="183">
    <w:name w:val="Grid Table 7 Colorful - Accent 4"/>
    <w:qFormat/>
    <w:uiPriority w:val="99"/>
    <w:tblPr>
      <w:tblCellMar>
        <w:top w:w="0" w:type="dxa"/>
        <w:left w:w="0" w:type="dxa"/>
        <w:bottom w:w="0" w:type="dxa"/>
        <w:right w:w="0" w:type="dxa"/>
      </w:tblCellMar>
    </w:tblPr>
  </w:style>
  <w:style w:type="table" w:customStyle="1" w:styleId="184">
    <w:name w:val="Grid Table 7 Colorful - Accent 5"/>
    <w:qFormat/>
    <w:uiPriority w:val="99"/>
    <w:tblPr>
      <w:tblCellMar>
        <w:top w:w="0" w:type="dxa"/>
        <w:left w:w="0" w:type="dxa"/>
        <w:bottom w:w="0" w:type="dxa"/>
        <w:right w:w="0" w:type="dxa"/>
      </w:tblCellMar>
    </w:tblPr>
  </w:style>
  <w:style w:type="table" w:customStyle="1" w:styleId="185">
    <w:name w:val="Grid Table 7 Colorful - Accent 6"/>
    <w:qFormat/>
    <w:uiPriority w:val="99"/>
    <w:tblPr>
      <w:tblCellMar>
        <w:top w:w="0" w:type="dxa"/>
        <w:left w:w="0" w:type="dxa"/>
        <w:bottom w:w="0" w:type="dxa"/>
        <w:right w:w="0" w:type="dxa"/>
      </w:tblCellMar>
    </w:tblPr>
  </w:style>
  <w:style w:type="table" w:customStyle="1" w:styleId="186">
    <w:name w:val="List Table 1 Light - Accent 1"/>
    <w:qFormat/>
    <w:uiPriority w:val="99"/>
    <w:tblPr>
      <w:tblCellMar>
        <w:top w:w="0" w:type="dxa"/>
        <w:left w:w="0" w:type="dxa"/>
        <w:bottom w:w="0" w:type="dxa"/>
        <w:right w:w="0" w:type="dxa"/>
      </w:tblCellMar>
    </w:tblPr>
  </w:style>
  <w:style w:type="table" w:customStyle="1" w:styleId="187">
    <w:name w:val="List Table 1 Light - Accent 2"/>
    <w:qFormat/>
    <w:uiPriority w:val="99"/>
    <w:tblPr>
      <w:tblCellMar>
        <w:top w:w="0" w:type="dxa"/>
        <w:left w:w="0" w:type="dxa"/>
        <w:bottom w:w="0" w:type="dxa"/>
        <w:right w:w="0" w:type="dxa"/>
      </w:tblCellMar>
    </w:tblPr>
  </w:style>
  <w:style w:type="table" w:customStyle="1" w:styleId="188">
    <w:name w:val="List Table 1 Light - Accent 3"/>
    <w:qFormat/>
    <w:uiPriority w:val="99"/>
    <w:tblPr>
      <w:tblCellMar>
        <w:top w:w="0" w:type="dxa"/>
        <w:left w:w="0" w:type="dxa"/>
        <w:bottom w:w="0" w:type="dxa"/>
        <w:right w:w="0" w:type="dxa"/>
      </w:tblCellMar>
    </w:tblPr>
  </w:style>
  <w:style w:type="table" w:customStyle="1" w:styleId="189">
    <w:name w:val="List Table 1 Light - Accent 4"/>
    <w:qFormat/>
    <w:uiPriority w:val="99"/>
    <w:tblPr>
      <w:tblCellMar>
        <w:top w:w="0" w:type="dxa"/>
        <w:left w:w="0" w:type="dxa"/>
        <w:bottom w:w="0" w:type="dxa"/>
        <w:right w:w="0" w:type="dxa"/>
      </w:tblCellMar>
    </w:tblPr>
  </w:style>
  <w:style w:type="table" w:customStyle="1" w:styleId="190">
    <w:name w:val="List Table 1 Light - Accent 5"/>
    <w:qFormat/>
    <w:uiPriority w:val="99"/>
    <w:tblPr>
      <w:tblCellMar>
        <w:top w:w="0" w:type="dxa"/>
        <w:left w:w="0" w:type="dxa"/>
        <w:bottom w:w="0" w:type="dxa"/>
        <w:right w:w="0" w:type="dxa"/>
      </w:tblCellMar>
    </w:tblPr>
  </w:style>
  <w:style w:type="table" w:customStyle="1" w:styleId="191">
    <w:name w:val="List Table 1 Light - Accent 6"/>
    <w:qFormat/>
    <w:uiPriority w:val="99"/>
    <w:tblPr>
      <w:tblCellMar>
        <w:top w:w="0" w:type="dxa"/>
        <w:left w:w="0" w:type="dxa"/>
        <w:bottom w:w="0" w:type="dxa"/>
        <w:right w:w="0" w:type="dxa"/>
      </w:tblCellMar>
    </w:tblPr>
  </w:style>
  <w:style w:type="table" w:customStyle="1" w:styleId="192">
    <w:name w:val="List Table 2 - Accent 1"/>
    <w:qFormat/>
    <w:uiPriority w:val="99"/>
    <w:tblPr>
      <w:tblCellMar>
        <w:top w:w="0" w:type="dxa"/>
        <w:left w:w="0" w:type="dxa"/>
        <w:bottom w:w="0" w:type="dxa"/>
        <w:right w:w="0" w:type="dxa"/>
      </w:tblCellMar>
    </w:tblPr>
  </w:style>
  <w:style w:type="table" w:customStyle="1" w:styleId="193">
    <w:name w:val="List Table 2 - Accent 2"/>
    <w:qFormat/>
    <w:uiPriority w:val="99"/>
    <w:tblPr>
      <w:tblCellMar>
        <w:top w:w="0" w:type="dxa"/>
        <w:left w:w="0" w:type="dxa"/>
        <w:bottom w:w="0" w:type="dxa"/>
        <w:right w:w="0" w:type="dxa"/>
      </w:tblCellMar>
    </w:tblPr>
  </w:style>
  <w:style w:type="table" w:customStyle="1" w:styleId="194">
    <w:name w:val="List Table 2 - Accent 3"/>
    <w:qFormat/>
    <w:uiPriority w:val="99"/>
    <w:tblPr>
      <w:tblCellMar>
        <w:top w:w="0" w:type="dxa"/>
        <w:left w:w="0" w:type="dxa"/>
        <w:bottom w:w="0" w:type="dxa"/>
        <w:right w:w="0" w:type="dxa"/>
      </w:tblCellMar>
    </w:tblPr>
  </w:style>
  <w:style w:type="table" w:customStyle="1" w:styleId="195">
    <w:name w:val="List Table 2 - Accent 4"/>
    <w:qFormat/>
    <w:uiPriority w:val="99"/>
    <w:tblPr>
      <w:tblCellMar>
        <w:top w:w="0" w:type="dxa"/>
        <w:left w:w="0" w:type="dxa"/>
        <w:bottom w:w="0" w:type="dxa"/>
        <w:right w:w="0" w:type="dxa"/>
      </w:tblCellMar>
    </w:tblPr>
  </w:style>
  <w:style w:type="table" w:customStyle="1" w:styleId="196">
    <w:name w:val="List Table 2 - Accent 5"/>
    <w:qFormat/>
    <w:uiPriority w:val="99"/>
    <w:tblPr>
      <w:tblCellMar>
        <w:top w:w="0" w:type="dxa"/>
        <w:left w:w="0" w:type="dxa"/>
        <w:bottom w:w="0" w:type="dxa"/>
        <w:right w:w="0" w:type="dxa"/>
      </w:tblCellMar>
    </w:tblPr>
  </w:style>
  <w:style w:type="table" w:customStyle="1" w:styleId="197">
    <w:name w:val="List Table 2 - Accent 6"/>
    <w:qFormat/>
    <w:uiPriority w:val="99"/>
    <w:tblPr>
      <w:tblCellMar>
        <w:top w:w="0" w:type="dxa"/>
        <w:left w:w="0" w:type="dxa"/>
        <w:bottom w:w="0" w:type="dxa"/>
        <w:right w:w="0" w:type="dxa"/>
      </w:tblCellMar>
    </w:tblPr>
  </w:style>
  <w:style w:type="table" w:customStyle="1" w:styleId="198">
    <w:name w:val="List Table 3 - Accent 1"/>
    <w:qFormat/>
    <w:uiPriority w:val="99"/>
    <w:tblPr>
      <w:tblCellMar>
        <w:top w:w="0" w:type="dxa"/>
        <w:left w:w="0" w:type="dxa"/>
        <w:bottom w:w="0" w:type="dxa"/>
        <w:right w:w="0" w:type="dxa"/>
      </w:tblCellMar>
    </w:tblPr>
  </w:style>
  <w:style w:type="table" w:customStyle="1" w:styleId="199">
    <w:name w:val="List Table 3 - Accent 2"/>
    <w:qFormat/>
    <w:uiPriority w:val="99"/>
    <w:tblPr>
      <w:tblCellMar>
        <w:top w:w="0" w:type="dxa"/>
        <w:left w:w="0" w:type="dxa"/>
        <w:bottom w:w="0" w:type="dxa"/>
        <w:right w:w="0" w:type="dxa"/>
      </w:tblCellMar>
    </w:tblPr>
  </w:style>
  <w:style w:type="table" w:customStyle="1" w:styleId="200">
    <w:name w:val="List Table 3 - Accent 3"/>
    <w:qFormat/>
    <w:uiPriority w:val="99"/>
    <w:tblPr>
      <w:tblCellMar>
        <w:top w:w="0" w:type="dxa"/>
        <w:left w:w="0" w:type="dxa"/>
        <w:bottom w:w="0" w:type="dxa"/>
        <w:right w:w="0" w:type="dxa"/>
      </w:tblCellMar>
    </w:tblPr>
  </w:style>
  <w:style w:type="table" w:customStyle="1" w:styleId="201">
    <w:name w:val="List Table 3 - Accent 4"/>
    <w:qFormat/>
    <w:uiPriority w:val="99"/>
    <w:tblPr>
      <w:tblCellMar>
        <w:top w:w="0" w:type="dxa"/>
        <w:left w:w="0" w:type="dxa"/>
        <w:bottom w:w="0" w:type="dxa"/>
        <w:right w:w="0" w:type="dxa"/>
      </w:tblCellMar>
    </w:tblPr>
  </w:style>
  <w:style w:type="table" w:customStyle="1" w:styleId="202">
    <w:name w:val="List Table 3 - Accent 5"/>
    <w:qFormat/>
    <w:uiPriority w:val="99"/>
    <w:tblPr>
      <w:tblCellMar>
        <w:top w:w="0" w:type="dxa"/>
        <w:left w:w="0" w:type="dxa"/>
        <w:bottom w:w="0" w:type="dxa"/>
        <w:right w:w="0" w:type="dxa"/>
      </w:tblCellMar>
    </w:tblPr>
  </w:style>
  <w:style w:type="table" w:customStyle="1" w:styleId="203">
    <w:name w:val="List Table 3 - Accent 6"/>
    <w:qFormat/>
    <w:uiPriority w:val="99"/>
    <w:tblPr>
      <w:tblCellMar>
        <w:top w:w="0" w:type="dxa"/>
        <w:left w:w="0" w:type="dxa"/>
        <w:bottom w:w="0" w:type="dxa"/>
        <w:right w:w="0" w:type="dxa"/>
      </w:tblCellMar>
    </w:tblPr>
  </w:style>
  <w:style w:type="table" w:customStyle="1" w:styleId="204">
    <w:name w:val="List Table 4 - Accent 1"/>
    <w:qFormat/>
    <w:uiPriority w:val="99"/>
    <w:tblPr>
      <w:tblCellMar>
        <w:top w:w="0" w:type="dxa"/>
        <w:left w:w="0" w:type="dxa"/>
        <w:bottom w:w="0" w:type="dxa"/>
        <w:right w:w="0" w:type="dxa"/>
      </w:tblCellMar>
    </w:tblPr>
  </w:style>
  <w:style w:type="table" w:customStyle="1" w:styleId="205">
    <w:name w:val="List Table 4 - Accent 2"/>
    <w:qFormat/>
    <w:uiPriority w:val="99"/>
    <w:tblPr>
      <w:tblCellMar>
        <w:top w:w="0" w:type="dxa"/>
        <w:left w:w="0" w:type="dxa"/>
        <w:bottom w:w="0" w:type="dxa"/>
        <w:right w:w="0" w:type="dxa"/>
      </w:tblCellMar>
    </w:tblPr>
  </w:style>
  <w:style w:type="table" w:customStyle="1" w:styleId="206">
    <w:name w:val="List Table 4 - Accent 3"/>
    <w:qFormat/>
    <w:uiPriority w:val="99"/>
    <w:tblPr>
      <w:tblCellMar>
        <w:top w:w="0" w:type="dxa"/>
        <w:left w:w="0" w:type="dxa"/>
        <w:bottom w:w="0" w:type="dxa"/>
        <w:right w:w="0" w:type="dxa"/>
      </w:tblCellMar>
    </w:tblPr>
  </w:style>
  <w:style w:type="table" w:customStyle="1" w:styleId="207">
    <w:name w:val="List Table 4 - Accent 4"/>
    <w:qFormat/>
    <w:uiPriority w:val="99"/>
    <w:tblPr>
      <w:tblCellMar>
        <w:top w:w="0" w:type="dxa"/>
        <w:left w:w="0" w:type="dxa"/>
        <w:bottom w:w="0" w:type="dxa"/>
        <w:right w:w="0" w:type="dxa"/>
      </w:tblCellMar>
    </w:tblPr>
  </w:style>
  <w:style w:type="table" w:customStyle="1" w:styleId="208">
    <w:name w:val="List Table 4 - Accent 5"/>
    <w:qFormat/>
    <w:uiPriority w:val="99"/>
    <w:tblPr>
      <w:tblCellMar>
        <w:top w:w="0" w:type="dxa"/>
        <w:left w:w="0" w:type="dxa"/>
        <w:bottom w:w="0" w:type="dxa"/>
        <w:right w:w="0" w:type="dxa"/>
      </w:tblCellMar>
    </w:tblPr>
  </w:style>
  <w:style w:type="table" w:customStyle="1" w:styleId="209">
    <w:name w:val="List Table 4 - Accent 6"/>
    <w:qFormat/>
    <w:uiPriority w:val="99"/>
    <w:tblPr>
      <w:tblCellMar>
        <w:top w:w="0" w:type="dxa"/>
        <w:left w:w="0" w:type="dxa"/>
        <w:bottom w:w="0" w:type="dxa"/>
        <w:right w:w="0" w:type="dxa"/>
      </w:tblCellMar>
    </w:tblPr>
  </w:style>
  <w:style w:type="table" w:customStyle="1" w:styleId="210">
    <w:name w:val="List Table 5 Dark - Accent 1"/>
    <w:qFormat/>
    <w:uiPriority w:val="99"/>
    <w:tblPr>
      <w:tblCellMar>
        <w:top w:w="0" w:type="dxa"/>
        <w:left w:w="0" w:type="dxa"/>
        <w:bottom w:w="0" w:type="dxa"/>
        <w:right w:w="0" w:type="dxa"/>
      </w:tblCellMar>
    </w:tblPr>
  </w:style>
  <w:style w:type="table" w:customStyle="1" w:styleId="211">
    <w:name w:val="List Table 5 Dark - Accent 2"/>
    <w:qFormat/>
    <w:uiPriority w:val="99"/>
    <w:tblPr>
      <w:tblCellMar>
        <w:top w:w="0" w:type="dxa"/>
        <w:left w:w="0" w:type="dxa"/>
        <w:bottom w:w="0" w:type="dxa"/>
        <w:right w:w="0" w:type="dxa"/>
      </w:tblCellMar>
    </w:tblPr>
  </w:style>
  <w:style w:type="table" w:customStyle="1" w:styleId="212">
    <w:name w:val="List Table 5 Dark - Accent 3"/>
    <w:qFormat/>
    <w:uiPriority w:val="99"/>
    <w:tblPr>
      <w:tblCellMar>
        <w:top w:w="0" w:type="dxa"/>
        <w:left w:w="0" w:type="dxa"/>
        <w:bottom w:w="0" w:type="dxa"/>
        <w:right w:w="0" w:type="dxa"/>
      </w:tblCellMar>
    </w:tblPr>
  </w:style>
  <w:style w:type="table" w:customStyle="1" w:styleId="213">
    <w:name w:val="List Table 5 Dark - Accent 4"/>
    <w:qFormat/>
    <w:uiPriority w:val="99"/>
    <w:tblPr>
      <w:tblCellMar>
        <w:top w:w="0" w:type="dxa"/>
        <w:left w:w="0" w:type="dxa"/>
        <w:bottom w:w="0" w:type="dxa"/>
        <w:right w:w="0" w:type="dxa"/>
      </w:tblCellMar>
    </w:tblPr>
  </w:style>
  <w:style w:type="table" w:customStyle="1" w:styleId="214">
    <w:name w:val="List Table 5 Dark - Accent 5"/>
    <w:qFormat/>
    <w:uiPriority w:val="99"/>
    <w:tblPr>
      <w:tblCellMar>
        <w:top w:w="0" w:type="dxa"/>
        <w:left w:w="0" w:type="dxa"/>
        <w:bottom w:w="0" w:type="dxa"/>
        <w:right w:w="0" w:type="dxa"/>
      </w:tblCellMar>
    </w:tblPr>
  </w:style>
  <w:style w:type="table" w:customStyle="1" w:styleId="215">
    <w:name w:val="List Table 5 Dark - Accent 6"/>
    <w:qFormat/>
    <w:uiPriority w:val="99"/>
    <w:tblPr>
      <w:tblCellMar>
        <w:top w:w="0" w:type="dxa"/>
        <w:left w:w="0" w:type="dxa"/>
        <w:bottom w:w="0" w:type="dxa"/>
        <w:right w:w="0" w:type="dxa"/>
      </w:tblCellMar>
    </w:tblPr>
  </w:style>
  <w:style w:type="table" w:customStyle="1" w:styleId="216">
    <w:name w:val="List Table 6 Colorful - Accent 1"/>
    <w:qFormat/>
    <w:uiPriority w:val="99"/>
    <w:tblPr>
      <w:tblCellMar>
        <w:top w:w="0" w:type="dxa"/>
        <w:left w:w="0" w:type="dxa"/>
        <w:bottom w:w="0" w:type="dxa"/>
        <w:right w:w="0" w:type="dxa"/>
      </w:tblCellMar>
    </w:tblPr>
  </w:style>
  <w:style w:type="table" w:customStyle="1" w:styleId="217">
    <w:name w:val="List Table 6 Colorful - Accent 2"/>
    <w:qFormat/>
    <w:uiPriority w:val="99"/>
    <w:tblPr>
      <w:tblCellMar>
        <w:top w:w="0" w:type="dxa"/>
        <w:left w:w="0" w:type="dxa"/>
        <w:bottom w:w="0" w:type="dxa"/>
        <w:right w:w="0" w:type="dxa"/>
      </w:tblCellMar>
    </w:tblPr>
  </w:style>
  <w:style w:type="table" w:customStyle="1" w:styleId="218">
    <w:name w:val="List Table 6 Colorful - Accent 3"/>
    <w:qFormat/>
    <w:uiPriority w:val="99"/>
    <w:tblPr>
      <w:tblCellMar>
        <w:top w:w="0" w:type="dxa"/>
        <w:left w:w="0" w:type="dxa"/>
        <w:bottom w:w="0" w:type="dxa"/>
        <w:right w:w="0" w:type="dxa"/>
      </w:tblCellMar>
    </w:tblPr>
  </w:style>
  <w:style w:type="table" w:customStyle="1" w:styleId="219">
    <w:name w:val="List Table 6 Colorful - Accent 4"/>
    <w:qFormat/>
    <w:uiPriority w:val="99"/>
    <w:tblPr>
      <w:tblCellMar>
        <w:top w:w="0" w:type="dxa"/>
        <w:left w:w="0" w:type="dxa"/>
        <w:bottom w:w="0" w:type="dxa"/>
        <w:right w:w="0" w:type="dxa"/>
      </w:tblCellMar>
    </w:tblPr>
  </w:style>
  <w:style w:type="table" w:customStyle="1" w:styleId="220">
    <w:name w:val="List Table 6 Colorful - Accent 5"/>
    <w:qFormat/>
    <w:uiPriority w:val="99"/>
    <w:tblPr>
      <w:tblCellMar>
        <w:top w:w="0" w:type="dxa"/>
        <w:left w:w="0" w:type="dxa"/>
        <w:bottom w:w="0" w:type="dxa"/>
        <w:right w:w="0" w:type="dxa"/>
      </w:tblCellMar>
    </w:tblPr>
  </w:style>
  <w:style w:type="table" w:customStyle="1" w:styleId="221">
    <w:name w:val="List Table 6 Colorful - Accent 6"/>
    <w:qFormat/>
    <w:uiPriority w:val="99"/>
    <w:tblPr>
      <w:tblCellMar>
        <w:top w:w="0" w:type="dxa"/>
        <w:left w:w="0" w:type="dxa"/>
        <w:bottom w:w="0" w:type="dxa"/>
        <w:right w:w="0" w:type="dxa"/>
      </w:tblCellMar>
    </w:tblPr>
  </w:style>
  <w:style w:type="table" w:customStyle="1" w:styleId="222">
    <w:name w:val="List Table 7 Colorful - Accent 1"/>
    <w:qFormat/>
    <w:uiPriority w:val="99"/>
    <w:tblPr>
      <w:tblCellMar>
        <w:top w:w="0" w:type="dxa"/>
        <w:left w:w="0" w:type="dxa"/>
        <w:bottom w:w="0" w:type="dxa"/>
        <w:right w:w="0" w:type="dxa"/>
      </w:tblCellMar>
    </w:tblPr>
  </w:style>
  <w:style w:type="table" w:customStyle="1" w:styleId="223">
    <w:name w:val="List Table 7 Colorful - Accent 2"/>
    <w:qFormat/>
    <w:uiPriority w:val="99"/>
    <w:tblPr>
      <w:tblCellMar>
        <w:top w:w="0" w:type="dxa"/>
        <w:left w:w="0" w:type="dxa"/>
        <w:bottom w:w="0" w:type="dxa"/>
        <w:right w:w="0" w:type="dxa"/>
      </w:tblCellMar>
    </w:tblPr>
  </w:style>
  <w:style w:type="table" w:customStyle="1" w:styleId="224">
    <w:name w:val="List Table 7 Colorful - Accent 3"/>
    <w:qFormat/>
    <w:uiPriority w:val="99"/>
    <w:tblPr>
      <w:tblCellMar>
        <w:top w:w="0" w:type="dxa"/>
        <w:left w:w="0" w:type="dxa"/>
        <w:bottom w:w="0" w:type="dxa"/>
        <w:right w:w="0" w:type="dxa"/>
      </w:tblCellMar>
    </w:tblPr>
  </w:style>
  <w:style w:type="table" w:customStyle="1" w:styleId="225">
    <w:name w:val="List Table 7 Colorful - Accent 4"/>
    <w:qFormat/>
    <w:uiPriority w:val="99"/>
    <w:tblPr>
      <w:tblCellMar>
        <w:top w:w="0" w:type="dxa"/>
        <w:left w:w="0" w:type="dxa"/>
        <w:bottom w:w="0" w:type="dxa"/>
        <w:right w:w="0" w:type="dxa"/>
      </w:tblCellMar>
    </w:tblPr>
  </w:style>
  <w:style w:type="table" w:customStyle="1" w:styleId="226">
    <w:name w:val="List Table 7 Colorful - Accent 5"/>
    <w:qFormat/>
    <w:uiPriority w:val="99"/>
    <w:tblPr>
      <w:tblCellMar>
        <w:top w:w="0" w:type="dxa"/>
        <w:left w:w="0" w:type="dxa"/>
        <w:bottom w:w="0" w:type="dxa"/>
        <w:right w:w="0" w:type="dxa"/>
      </w:tblCellMar>
    </w:tblPr>
  </w:style>
  <w:style w:type="table" w:customStyle="1" w:styleId="227">
    <w:name w:val="List Table 7 Colorful - Accent 6"/>
    <w:qFormat/>
    <w:uiPriority w:val="99"/>
    <w:tblPr>
      <w:tblCellMar>
        <w:top w:w="0" w:type="dxa"/>
        <w:left w:w="0" w:type="dxa"/>
        <w:bottom w:w="0" w:type="dxa"/>
        <w:right w:w="0" w:type="dxa"/>
      </w:tblCellMar>
    </w:tblPr>
  </w:style>
  <w:style w:type="table" w:customStyle="1" w:styleId="228">
    <w:name w:val="Lined - Accent"/>
    <w:qFormat/>
    <w:uiPriority w:val="99"/>
    <w:rPr>
      <w:color w:val="404040"/>
    </w:rPr>
    <w:tblPr>
      <w:tblCellMar>
        <w:top w:w="0" w:type="dxa"/>
        <w:left w:w="0" w:type="dxa"/>
        <w:bottom w:w="0" w:type="dxa"/>
        <w:right w:w="0" w:type="dxa"/>
      </w:tblCellMar>
    </w:tblPr>
  </w:style>
  <w:style w:type="table" w:customStyle="1" w:styleId="229">
    <w:name w:val="Lined - Accent 1"/>
    <w:qFormat/>
    <w:uiPriority w:val="99"/>
    <w:rPr>
      <w:color w:val="404040"/>
    </w:rPr>
    <w:tblPr>
      <w:tblCellMar>
        <w:top w:w="0" w:type="dxa"/>
        <w:left w:w="0" w:type="dxa"/>
        <w:bottom w:w="0" w:type="dxa"/>
        <w:right w:w="0" w:type="dxa"/>
      </w:tblCellMar>
    </w:tblPr>
  </w:style>
  <w:style w:type="table" w:customStyle="1" w:styleId="230">
    <w:name w:val="Lined - Accent 2"/>
    <w:qFormat/>
    <w:uiPriority w:val="99"/>
    <w:rPr>
      <w:color w:val="404040"/>
    </w:rPr>
    <w:tblPr>
      <w:tblCellMar>
        <w:top w:w="0" w:type="dxa"/>
        <w:left w:w="0" w:type="dxa"/>
        <w:bottom w:w="0" w:type="dxa"/>
        <w:right w:w="0" w:type="dxa"/>
      </w:tblCellMar>
    </w:tblPr>
  </w:style>
  <w:style w:type="table" w:customStyle="1" w:styleId="231">
    <w:name w:val="Lined - Accent 3"/>
    <w:qFormat/>
    <w:uiPriority w:val="99"/>
    <w:rPr>
      <w:color w:val="404040"/>
    </w:rPr>
    <w:tblPr>
      <w:tblCellMar>
        <w:top w:w="0" w:type="dxa"/>
        <w:left w:w="0" w:type="dxa"/>
        <w:bottom w:w="0" w:type="dxa"/>
        <w:right w:w="0" w:type="dxa"/>
      </w:tblCellMar>
    </w:tblPr>
  </w:style>
  <w:style w:type="table" w:customStyle="1" w:styleId="232">
    <w:name w:val="Lined - Accent 4"/>
    <w:qFormat/>
    <w:uiPriority w:val="99"/>
    <w:rPr>
      <w:color w:val="404040"/>
    </w:rPr>
    <w:tblPr>
      <w:tblCellMar>
        <w:top w:w="0" w:type="dxa"/>
        <w:left w:w="0" w:type="dxa"/>
        <w:bottom w:w="0" w:type="dxa"/>
        <w:right w:w="0" w:type="dxa"/>
      </w:tblCellMar>
    </w:tblPr>
  </w:style>
  <w:style w:type="table" w:customStyle="1" w:styleId="233">
    <w:name w:val="Lined - Accent 5"/>
    <w:qFormat/>
    <w:uiPriority w:val="99"/>
    <w:rPr>
      <w:color w:val="404040"/>
    </w:rPr>
    <w:tblPr>
      <w:tblCellMar>
        <w:top w:w="0" w:type="dxa"/>
        <w:left w:w="0" w:type="dxa"/>
        <w:bottom w:w="0" w:type="dxa"/>
        <w:right w:w="0" w:type="dxa"/>
      </w:tblCellMar>
    </w:tblPr>
  </w:style>
  <w:style w:type="table" w:customStyle="1" w:styleId="234">
    <w:name w:val="Lined - Accent 6"/>
    <w:qFormat/>
    <w:uiPriority w:val="99"/>
    <w:rPr>
      <w:color w:val="404040"/>
    </w:rPr>
    <w:tblPr>
      <w:tblCellMar>
        <w:top w:w="0" w:type="dxa"/>
        <w:left w:w="0" w:type="dxa"/>
        <w:bottom w:w="0" w:type="dxa"/>
        <w:right w:w="0" w:type="dxa"/>
      </w:tblCellMar>
    </w:tblPr>
  </w:style>
  <w:style w:type="table" w:customStyle="1" w:styleId="235">
    <w:name w:val="Bordered &amp; Lined - Accent"/>
    <w:qFormat/>
    <w:uiPriority w:val="99"/>
    <w:rPr>
      <w:color w:val="404040"/>
    </w:rPr>
    <w:tblPr>
      <w:tblCellMar>
        <w:top w:w="0" w:type="dxa"/>
        <w:left w:w="0" w:type="dxa"/>
        <w:bottom w:w="0" w:type="dxa"/>
        <w:right w:w="0" w:type="dxa"/>
      </w:tblCellMar>
    </w:tblPr>
  </w:style>
  <w:style w:type="table" w:customStyle="1" w:styleId="236">
    <w:name w:val="Bordered &amp; Lined - Accent 1"/>
    <w:qFormat/>
    <w:uiPriority w:val="99"/>
    <w:rPr>
      <w:color w:val="404040"/>
    </w:rPr>
    <w:tblPr>
      <w:tblCellMar>
        <w:top w:w="0" w:type="dxa"/>
        <w:left w:w="0" w:type="dxa"/>
        <w:bottom w:w="0" w:type="dxa"/>
        <w:right w:w="0" w:type="dxa"/>
      </w:tblCellMar>
    </w:tblPr>
  </w:style>
  <w:style w:type="table" w:customStyle="1" w:styleId="237">
    <w:name w:val="Bordered &amp; Lined - Accent 2"/>
    <w:qFormat/>
    <w:uiPriority w:val="99"/>
    <w:rPr>
      <w:color w:val="404040"/>
    </w:rPr>
    <w:tblPr>
      <w:tblCellMar>
        <w:top w:w="0" w:type="dxa"/>
        <w:left w:w="0" w:type="dxa"/>
        <w:bottom w:w="0" w:type="dxa"/>
        <w:right w:w="0" w:type="dxa"/>
      </w:tblCellMar>
    </w:tblPr>
  </w:style>
  <w:style w:type="table" w:customStyle="1" w:styleId="238">
    <w:name w:val="Bordered &amp; Lined - Accent 3"/>
    <w:qFormat/>
    <w:uiPriority w:val="99"/>
    <w:rPr>
      <w:color w:val="404040"/>
    </w:rPr>
    <w:tblPr>
      <w:tblCellMar>
        <w:top w:w="0" w:type="dxa"/>
        <w:left w:w="0" w:type="dxa"/>
        <w:bottom w:w="0" w:type="dxa"/>
        <w:right w:w="0" w:type="dxa"/>
      </w:tblCellMar>
    </w:tblPr>
  </w:style>
  <w:style w:type="table" w:customStyle="1" w:styleId="239">
    <w:name w:val="Bordered &amp; Lined - Accent 4"/>
    <w:qFormat/>
    <w:uiPriority w:val="99"/>
    <w:rPr>
      <w:color w:val="404040"/>
    </w:rPr>
    <w:tblPr>
      <w:tblCellMar>
        <w:top w:w="0" w:type="dxa"/>
        <w:left w:w="0" w:type="dxa"/>
        <w:bottom w:w="0" w:type="dxa"/>
        <w:right w:w="0" w:type="dxa"/>
      </w:tblCellMar>
    </w:tblPr>
  </w:style>
  <w:style w:type="table" w:customStyle="1" w:styleId="240">
    <w:name w:val="Bordered &amp; Lined - Accent 5"/>
    <w:qFormat/>
    <w:uiPriority w:val="99"/>
    <w:rPr>
      <w:color w:val="404040"/>
    </w:rPr>
    <w:tblPr>
      <w:tblCellMar>
        <w:top w:w="0" w:type="dxa"/>
        <w:left w:w="0" w:type="dxa"/>
        <w:bottom w:w="0" w:type="dxa"/>
        <w:right w:w="0" w:type="dxa"/>
      </w:tblCellMar>
    </w:tblPr>
  </w:style>
  <w:style w:type="table" w:customStyle="1" w:styleId="241">
    <w:name w:val="Bordered &amp; Lined - Accent 6"/>
    <w:qFormat/>
    <w:uiPriority w:val="99"/>
    <w:rPr>
      <w:color w:val="404040"/>
    </w:rPr>
    <w:tblPr>
      <w:tblCellMar>
        <w:top w:w="0" w:type="dxa"/>
        <w:left w:w="0" w:type="dxa"/>
        <w:bottom w:w="0" w:type="dxa"/>
        <w:right w:w="0" w:type="dxa"/>
      </w:tblCellMar>
    </w:tblPr>
  </w:style>
  <w:style w:type="table" w:customStyle="1" w:styleId="242">
    <w:name w:val="Bordered"/>
    <w:qFormat/>
    <w:uiPriority w:val="99"/>
    <w:tblPr>
      <w:tblCellMar>
        <w:top w:w="0" w:type="dxa"/>
        <w:left w:w="0" w:type="dxa"/>
        <w:bottom w:w="0" w:type="dxa"/>
        <w:right w:w="0" w:type="dxa"/>
      </w:tblCellMar>
    </w:tblPr>
  </w:style>
  <w:style w:type="table" w:customStyle="1" w:styleId="243">
    <w:name w:val="Bordered - Accent 1"/>
    <w:qFormat/>
    <w:uiPriority w:val="99"/>
    <w:tblPr>
      <w:tblCellMar>
        <w:top w:w="0" w:type="dxa"/>
        <w:left w:w="0" w:type="dxa"/>
        <w:bottom w:w="0" w:type="dxa"/>
        <w:right w:w="0" w:type="dxa"/>
      </w:tblCellMar>
    </w:tblPr>
  </w:style>
  <w:style w:type="table" w:customStyle="1" w:styleId="244">
    <w:name w:val="Bordered - Accent 2"/>
    <w:qFormat/>
    <w:uiPriority w:val="99"/>
    <w:tblPr>
      <w:tblCellMar>
        <w:top w:w="0" w:type="dxa"/>
        <w:left w:w="0" w:type="dxa"/>
        <w:bottom w:w="0" w:type="dxa"/>
        <w:right w:w="0" w:type="dxa"/>
      </w:tblCellMar>
    </w:tblPr>
  </w:style>
  <w:style w:type="table" w:customStyle="1" w:styleId="245">
    <w:name w:val="Bordered - Accent 3"/>
    <w:qFormat/>
    <w:uiPriority w:val="99"/>
    <w:tblPr>
      <w:tblCellMar>
        <w:top w:w="0" w:type="dxa"/>
        <w:left w:w="0" w:type="dxa"/>
        <w:bottom w:w="0" w:type="dxa"/>
        <w:right w:w="0" w:type="dxa"/>
      </w:tblCellMar>
    </w:tblPr>
  </w:style>
  <w:style w:type="table" w:customStyle="1" w:styleId="246">
    <w:name w:val="Bordered - Accent 4"/>
    <w:qFormat/>
    <w:uiPriority w:val="99"/>
    <w:tblPr>
      <w:tblCellMar>
        <w:top w:w="0" w:type="dxa"/>
        <w:left w:w="0" w:type="dxa"/>
        <w:bottom w:w="0" w:type="dxa"/>
        <w:right w:w="0" w:type="dxa"/>
      </w:tblCellMar>
    </w:tblPr>
  </w:style>
  <w:style w:type="table" w:customStyle="1" w:styleId="247">
    <w:name w:val="Bordered - Accent 5"/>
    <w:qFormat/>
    <w:uiPriority w:val="99"/>
    <w:tblPr>
      <w:tblCellMar>
        <w:top w:w="0" w:type="dxa"/>
        <w:left w:w="0" w:type="dxa"/>
        <w:bottom w:w="0" w:type="dxa"/>
        <w:right w:w="0" w:type="dxa"/>
      </w:tblCellMar>
    </w:tblPr>
  </w:style>
  <w:style w:type="table" w:customStyle="1" w:styleId="248">
    <w:name w:val="Bordered - Accent 6"/>
    <w:qFormat/>
    <w:uiPriority w:val="99"/>
    <w:tblPr>
      <w:tblCellMar>
        <w:top w:w="0" w:type="dxa"/>
        <w:left w:w="0" w:type="dxa"/>
        <w:bottom w:w="0" w:type="dxa"/>
        <w:right w:w="0" w:type="dxa"/>
      </w:tblCellMar>
    </w:tblPr>
  </w:style>
  <w:style w:type="paragraph" w:customStyle="1" w:styleId="249">
    <w:name w:val="TOC 标题11"/>
    <w:unhideWhenUsed/>
    <w:qFormat/>
    <w:uiPriority w:val="39"/>
    <w:rPr>
      <w:rFonts w:ascii="Times New Roman" w:hAnsi="Times New Roman" w:eastAsia="宋体" w:cs="Times New Roman"/>
      <w:lang w:val="en-US" w:eastAsia="zh-CN" w:bidi="ar-SA"/>
    </w:rPr>
  </w:style>
  <w:style w:type="paragraph" w:customStyle="1" w:styleId="250">
    <w:name w:val="标题 51"/>
    <w:basedOn w:val="1"/>
    <w:next w:val="1"/>
    <w:qFormat/>
    <w:uiPriority w:val="0"/>
    <w:pPr>
      <w:keepNext/>
      <w:keepLines/>
      <w:tabs>
        <w:tab w:val="left" w:pos="1134"/>
        <w:tab w:val="right" w:pos="7371"/>
      </w:tabs>
      <w:spacing w:line="360" w:lineRule="auto"/>
      <w:jc w:val="left"/>
      <w:outlineLvl w:val="4"/>
    </w:pPr>
    <w:rPr>
      <w:rFonts w:ascii="宋体"/>
      <w:color w:val="008000"/>
      <w:sz w:val="28"/>
      <w:szCs w:val="20"/>
    </w:rPr>
  </w:style>
  <w:style w:type="paragraph" w:customStyle="1" w:styleId="251">
    <w:name w:val="标题 61"/>
    <w:basedOn w:val="1"/>
    <w:next w:val="1"/>
    <w:qFormat/>
    <w:uiPriority w:val="0"/>
    <w:pPr>
      <w:keepNext/>
      <w:keepLines/>
      <w:tabs>
        <w:tab w:val="left" w:pos="1134"/>
        <w:tab w:val="right" w:pos="7371"/>
      </w:tabs>
      <w:spacing w:before="240" w:after="64" w:line="316" w:lineRule="auto"/>
      <w:jc w:val="left"/>
      <w:outlineLvl w:val="5"/>
    </w:pPr>
    <w:rPr>
      <w:rFonts w:ascii="Arial" w:hAnsi="Arial" w:eastAsia="黑体"/>
      <w:b/>
      <w:color w:val="000000"/>
      <w:sz w:val="24"/>
      <w:szCs w:val="20"/>
    </w:rPr>
  </w:style>
  <w:style w:type="paragraph" w:customStyle="1" w:styleId="252">
    <w:name w:val="标题 71"/>
    <w:basedOn w:val="1"/>
    <w:next w:val="1"/>
    <w:qFormat/>
    <w:uiPriority w:val="0"/>
    <w:pPr>
      <w:keepNext/>
      <w:keepLines/>
      <w:tabs>
        <w:tab w:val="left" w:pos="1134"/>
        <w:tab w:val="right" w:pos="7371"/>
      </w:tabs>
      <w:spacing w:before="240" w:after="64" w:line="316" w:lineRule="auto"/>
      <w:jc w:val="left"/>
      <w:outlineLvl w:val="6"/>
    </w:pPr>
    <w:rPr>
      <w:rFonts w:ascii="宋体"/>
      <w:b/>
      <w:color w:val="000000"/>
      <w:sz w:val="24"/>
      <w:szCs w:val="20"/>
    </w:rPr>
  </w:style>
  <w:style w:type="paragraph" w:customStyle="1" w:styleId="253">
    <w:name w:val="标题 81"/>
    <w:basedOn w:val="1"/>
    <w:next w:val="1"/>
    <w:qFormat/>
    <w:uiPriority w:val="0"/>
    <w:pPr>
      <w:keepNext/>
      <w:keepLines/>
      <w:tabs>
        <w:tab w:val="left" w:pos="1134"/>
        <w:tab w:val="right" w:pos="7371"/>
      </w:tabs>
      <w:spacing w:before="240" w:after="64" w:line="316" w:lineRule="auto"/>
      <w:jc w:val="left"/>
      <w:outlineLvl w:val="7"/>
    </w:pPr>
    <w:rPr>
      <w:rFonts w:ascii="Arial" w:hAnsi="Arial" w:eastAsia="黑体"/>
      <w:color w:val="000000"/>
      <w:sz w:val="24"/>
      <w:szCs w:val="20"/>
    </w:rPr>
  </w:style>
  <w:style w:type="paragraph" w:customStyle="1" w:styleId="254">
    <w:name w:val="标题 91"/>
    <w:basedOn w:val="1"/>
    <w:next w:val="1"/>
    <w:qFormat/>
    <w:uiPriority w:val="0"/>
    <w:pPr>
      <w:keepNext/>
      <w:spacing w:line="600" w:lineRule="exact"/>
      <w:jc w:val="center"/>
      <w:outlineLvl w:val="8"/>
    </w:pPr>
    <w:rPr>
      <w:rFonts w:ascii="仿宋_GB2312" w:eastAsia="仿宋_GB2312"/>
      <w:sz w:val="32"/>
    </w:rPr>
  </w:style>
  <w:style w:type="character" w:customStyle="1" w:styleId="255">
    <w:name w:val="默认段落字体1"/>
    <w:unhideWhenUsed/>
    <w:qFormat/>
    <w:uiPriority w:val="1"/>
  </w:style>
  <w:style w:type="table" w:customStyle="1" w:styleId="256">
    <w:name w:val="普通表格1"/>
    <w:semiHidden/>
    <w:qFormat/>
    <w:uiPriority w:val="0"/>
    <w:tblPr>
      <w:tblCellMar>
        <w:top w:w="0" w:type="dxa"/>
        <w:left w:w="0" w:type="dxa"/>
        <w:bottom w:w="0" w:type="dxa"/>
        <w:right w:w="0" w:type="dxa"/>
      </w:tblCellMar>
    </w:tblPr>
  </w:style>
  <w:style w:type="paragraph" w:customStyle="1" w:styleId="257">
    <w:name w:val="列表项目符号 41"/>
    <w:basedOn w:val="1"/>
    <w:qFormat/>
    <w:uiPriority w:val="0"/>
    <w:pPr>
      <w:tabs>
        <w:tab w:val="left" w:pos="360"/>
      </w:tabs>
      <w:spacing w:line="380" w:lineRule="exact"/>
      <w:ind w:left="360" w:hanging="360"/>
    </w:pPr>
    <w:rPr>
      <w:sz w:val="28"/>
    </w:rPr>
  </w:style>
  <w:style w:type="paragraph" w:customStyle="1" w:styleId="258">
    <w:name w:val="索引 81"/>
    <w:basedOn w:val="1"/>
    <w:next w:val="1"/>
    <w:qFormat/>
    <w:uiPriority w:val="0"/>
    <w:pPr>
      <w:ind w:left="1400"/>
    </w:pPr>
  </w:style>
  <w:style w:type="paragraph" w:customStyle="1" w:styleId="259">
    <w:name w:val="列表编号1"/>
    <w:basedOn w:val="1"/>
    <w:qFormat/>
    <w:uiPriority w:val="0"/>
    <w:pPr>
      <w:tabs>
        <w:tab w:val="left" w:pos="0"/>
        <w:tab w:val="left" w:pos="840"/>
      </w:tabs>
      <w:spacing w:line="360" w:lineRule="auto"/>
    </w:pPr>
  </w:style>
  <w:style w:type="paragraph" w:customStyle="1" w:styleId="260">
    <w:name w:val="正文缩进11"/>
    <w:basedOn w:val="1"/>
    <w:qFormat/>
    <w:uiPriority w:val="0"/>
    <w:pPr>
      <w:ind w:firstLine="420"/>
    </w:pPr>
    <w:rPr>
      <w:rFonts w:ascii="宋体"/>
      <w:color w:val="000000"/>
      <w:sz w:val="24"/>
      <w:szCs w:val="20"/>
    </w:rPr>
  </w:style>
  <w:style w:type="paragraph" w:customStyle="1" w:styleId="261">
    <w:name w:val="题注1"/>
    <w:basedOn w:val="1"/>
    <w:next w:val="1"/>
    <w:link w:val="262"/>
    <w:qFormat/>
    <w:uiPriority w:val="0"/>
    <w:pPr>
      <w:tabs>
        <w:tab w:val="left" w:pos="0"/>
      </w:tabs>
      <w:spacing w:line="360" w:lineRule="auto"/>
    </w:pPr>
    <w:rPr>
      <w:rFonts w:ascii="Arial" w:hAnsi="Arial" w:eastAsia="黑体"/>
      <w:sz w:val="20"/>
      <w:szCs w:val="20"/>
    </w:rPr>
  </w:style>
  <w:style w:type="character" w:customStyle="1" w:styleId="262">
    <w:name w:val="题注 字符"/>
    <w:link w:val="261"/>
    <w:qFormat/>
    <w:uiPriority w:val="0"/>
    <w:rPr>
      <w:rFonts w:ascii="Arial" w:hAnsi="Arial" w:eastAsia="黑体" w:cs="Arial"/>
    </w:rPr>
  </w:style>
  <w:style w:type="paragraph" w:customStyle="1" w:styleId="263">
    <w:name w:val="索引 51"/>
    <w:basedOn w:val="1"/>
    <w:next w:val="1"/>
    <w:qFormat/>
    <w:uiPriority w:val="0"/>
    <w:pPr>
      <w:ind w:left="800"/>
    </w:pPr>
  </w:style>
  <w:style w:type="paragraph" w:customStyle="1" w:styleId="264">
    <w:name w:val="列表项目符号1"/>
    <w:basedOn w:val="1"/>
    <w:qFormat/>
    <w:uiPriority w:val="0"/>
    <w:pPr>
      <w:tabs>
        <w:tab w:val="left" w:pos="840"/>
      </w:tabs>
      <w:spacing w:line="360" w:lineRule="auto"/>
      <w:ind w:left="962" w:hanging="480"/>
    </w:pPr>
    <w:rPr>
      <w:sz w:val="24"/>
    </w:rPr>
  </w:style>
  <w:style w:type="paragraph" w:customStyle="1" w:styleId="265">
    <w:name w:val="文档结构图1"/>
    <w:basedOn w:val="1"/>
    <w:qFormat/>
    <w:uiPriority w:val="0"/>
    <w:pPr>
      <w:shd w:val="clear" w:color="auto" w:fill="000080"/>
    </w:pPr>
  </w:style>
  <w:style w:type="paragraph" w:customStyle="1" w:styleId="266">
    <w:name w:val="批注文字1"/>
    <w:basedOn w:val="1"/>
    <w:link w:val="267"/>
    <w:qFormat/>
    <w:uiPriority w:val="99"/>
    <w:pPr>
      <w:jc w:val="left"/>
    </w:pPr>
    <w:rPr>
      <w:szCs w:val="20"/>
    </w:rPr>
  </w:style>
  <w:style w:type="character" w:customStyle="1" w:styleId="267">
    <w:name w:val="批注文字 字符"/>
    <w:link w:val="266"/>
    <w:qFormat/>
    <w:uiPriority w:val="99"/>
    <w:rPr>
      <w:rFonts w:ascii="Calibri" w:hAnsi="Calibri" w:eastAsia="宋体" w:cs="Times New Roman"/>
      <w:sz w:val="21"/>
    </w:rPr>
  </w:style>
  <w:style w:type="paragraph" w:customStyle="1" w:styleId="268">
    <w:name w:val="索引 61"/>
    <w:basedOn w:val="1"/>
    <w:next w:val="1"/>
    <w:qFormat/>
    <w:uiPriority w:val="0"/>
    <w:pPr>
      <w:ind w:left="1000"/>
    </w:pPr>
  </w:style>
  <w:style w:type="paragraph" w:customStyle="1" w:styleId="269">
    <w:name w:val="正文文本 31"/>
    <w:basedOn w:val="1"/>
    <w:qFormat/>
    <w:uiPriority w:val="0"/>
    <w:rPr>
      <w:color w:val="000000"/>
    </w:rPr>
  </w:style>
  <w:style w:type="paragraph" w:customStyle="1" w:styleId="270">
    <w:name w:val="列表项目符号 31"/>
    <w:basedOn w:val="1"/>
    <w:qFormat/>
    <w:uiPriority w:val="0"/>
    <w:pPr>
      <w:tabs>
        <w:tab w:val="left" w:pos="1200"/>
      </w:tabs>
      <w:spacing w:line="380" w:lineRule="exact"/>
      <w:ind w:left="1200" w:hanging="360"/>
    </w:pPr>
    <w:rPr>
      <w:sz w:val="28"/>
    </w:rPr>
  </w:style>
  <w:style w:type="paragraph" w:customStyle="1" w:styleId="271">
    <w:name w:val="正文文本1"/>
    <w:basedOn w:val="1"/>
    <w:qFormat/>
    <w:uiPriority w:val="0"/>
    <w:pPr>
      <w:spacing w:line="60" w:lineRule="auto"/>
    </w:pPr>
    <w:rPr>
      <w:rFonts w:ascii="仿宋_GB2312" w:eastAsia="仿宋_GB2312"/>
      <w:sz w:val="32"/>
    </w:rPr>
  </w:style>
  <w:style w:type="paragraph" w:customStyle="1" w:styleId="272">
    <w:name w:val="正文文本缩进1"/>
    <w:basedOn w:val="1"/>
    <w:qFormat/>
    <w:uiPriority w:val="0"/>
    <w:pPr>
      <w:ind w:firstLine="225"/>
    </w:pPr>
    <w:rPr>
      <w:rFonts w:ascii="仿宋_GB2312" w:eastAsia="仿宋_GB2312"/>
      <w:sz w:val="32"/>
    </w:rPr>
  </w:style>
  <w:style w:type="paragraph" w:customStyle="1" w:styleId="273">
    <w:name w:val="文本块1"/>
    <w:basedOn w:val="1"/>
    <w:qFormat/>
    <w:uiPriority w:val="0"/>
    <w:pPr>
      <w:spacing w:line="360" w:lineRule="exact"/>
      <w:ind w:left="1548" w:right="12" w:hanging="2405"/>
    </w:pPr>
    <w:rPr>
      <w:rFonts w:ascii="宋体"/>
      <w:bCs/>
      <w:sz w:val="28"/>
    </w:rPr>
  </w:style>
  <w:style w:type="paragraph" w:customStyle="1" w:styleId="274">
    <w:name w:val="列表项目符号 21"/>
    <w:basedOn w:val="1"/>
    <w:qFormat/>
    <w:uiPriority w:val="0"/>
    <w:pPr>
      <w:tabs>
        <w:tab w:val="left" w:pos="720"/>
      </w:tabs>
      <w:spacing w:line="360" w:lineRule="auto"/>
      <w:ind w:left="720" w:hanging="360"/>
    </w:pPr>
    <w:rPr>
      <w:sz w:val="24"/>
    </w:rPr>
  </w:style>
  <w:style w:type="paragraph" w:customStyle="1" w:styleId="275">
    <w:name w:val="HTML 地址1"/>
    <w:basedOn w:val="1"/>
    <w:qFormat/>
    <w:uiPriority w:val="0"/>
    <w:rPr>
      <w:i/>
      <w:iCs/>
    </w:rPr>
  </w:style>
  <w:style w:type="paragraph" w:customStyle="1" w:styleId="276">
    <w:name w:val="索引 41"/>
    <w:basedOn w:val="1"/>
    <w:next w:val="1"/>
    <w:qFormat/>
    <w:uiPriority w:val="0"/>
    <w:pPr>
      <w:ind w:left="600"/>
    </w:pPr>
  </w:style>
  <w:style w:type="paragraph" w:customStyle="1" w:styleId="277">
    <w:name w:val="纯文本11"/>
    <w:basedOn w:val="1"/>
    <w:link w:val="278"/>
    <w:qFormat/>
    <w:uiPriority w:val="0"/>
    <w:rPr>
      <w:rFonts w:ascii="宋体"/>
      <w:szCs w:val="21"/>
    </w:rPr>
  </w:style>
  <w:style w:type="character" w:customStyle="1" w:styleId="278">
    <w:name w:val="纯文本 字符"/>
    <w:link w:val="277"/>
    <w:qFormat/>
    <w:uiPriority w:val="0"/>
    <w:rPr>
      <w:rFonts w:ascii="宋体" w:hAnsi="Calibri" w:eastAsia="宋体"/>
      <w:sz w:val="21"/>
      <w:szCs w:val="21"/>
      <w:lang w:val="en-US" w:eastAsia="zh-CN" w:bidi="ar-SA"/>
    </w:rPr>
  </w:style>
  <w:style w:type="paragraph" w:customStyle="1" w:styleId="279">
    <w:name w:val="列表项目符号 51"/>
    <w:basedOn w:val="1"/>
    <w:qFormat/>
    <w:uiPriority w:val="0"/>
    <w:pPr>
      <w:tabs>
        <w:tab w:val="left" w:pos="720"/>
      </w:tabs>
      <w:spacing w:line="380" w:lineRule="exact"/>
      <w:ind w:left="720" w:hanging="360"/>
    </w:pPr>
    <w:rPr>
      <w:sz w:val="28"/>
    </w:rPr>
  </w:style>
  <w:style w:type="paragraph" w:customStyle="1" w:styleId="280">
    <w:name w:val="索引 31"/>
    <w:basedOn w:val="1"/>
    <w:next w:val="1"/>
    <w:qFormat/>
    <w:uiPriority w:val="0"/>
    <w:pPr>
      <w:ind w:left="400"/>
    </w:pPr>
  </w:style>
  <w:style w:type="paragraph" w:customStyle="1" w:styleId="281">
    <w:name w:val="日期1"/>
    <w:basedOn w:val="1"/>
    <w:next w:val="1"/>
    <w:qFormat/>
    <w:uiPriority w:val="0"/>
    <w:pPr>
      <w:ind w:left="2500"/>
    </w:pPr>
  </w:style>
  <w:style w:type="paragraph" w:customStyle="1" w:styleId="282">
    <w:name w:val="正文文本缩进 21"/>
    <w:basedOn w:val="1"/>
    <w:qFormat/>
    <w:uiPriority w:val="0"/>
    <w:pPr>
      <w:spacing w:line="540" w:lineRule="exact"/>
      <w:ind w:firstLine="225"/>
      <w:jc w:val="left"/>
    </w:pPr>
    <w:rPr>
      <w:rFonts w:ascii="仿宋_GB2312" w:eastAsia="仿宋_GB2312"/>
      <w:sz w:val="32"/>
    </w:rPr>
  </w:style>
  <w:style w:type="paragraph" w:customStyle="1" w:styleId="283">
    <w:name w:val="尾注文本1"/>
    <w:basedOn w:val="1"/>
    <w:qFormat/>
    <w:uiPriority w:val="0"/>
    <w:pPr>
      <w:widowControl/>
      <w:jc w:val="left"/>
    </w:pPr>
    <w:rPr>
      <w:rFonts w:ascii="宋体"/>
      <w:bCs/>
      <w:szCs w:val="21"/>
    </w:rPr>
  </w:style>
  <w:style w:type="paragraph" w:customStyle="1" w:styleId="284">
    <w:name w:val="批注框文本1"/>
    <w:basedOn w:val="1"/>
    <w:qFormat/>
    <w:uiPriority w:val="0"/>
    <w:rPr>
      <w:sz w:val="18"/>
      <w:szCs w:val="20"/>
    </w:rPr>
  </w:style>
  <w:style w:type="paragraph" w:customStyle="1" w:styleId="285">
    <w:name w:val="页脚1"/>
    <w:basedOn w:val="1"/>
    <w:qFormat/>
    <w:uiPriority w:val="0"/>
    <w:pPr>
      <w:tabs>
        <w:tab w:val="center" w:pos="4153"/>
        <w:tab w:val="right" w:pos="8306"/>
      </w:tabs>
      <w:jc w:val="left"/>
    </w:pPr>
    <w:rPr>
      <w:sz w:val="18"/>
      <w:szCs w:val="18"/>
    </w:rPr>
  </w:style>
  <w:style w:type="paragraph" w:customStyle="1" w:styleId="286">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87">
    <w:name w:val="索引标题1"/>
    <w:basedOn w:val="1"/>
    <w:next w:val="288"/>
    <w:qFormat/>
    <w:uiPriority w:val="0"/>
  </w:style>
  <w:style w:type="paragraph" w:customStyle="1" w:styleId="288">
    <w:name w:val="索引 111"/>
    <w:basedOn w:val="1"/>
    <w:next w:val="1"/>
    <w:qFormat/>
    <w:uiPriority w:val="0"/>
  </w:style>
  <w:style w:type="paragraph" w:customStyle="1" w:styleId="289">
    <w:name w:val="脚注文本1"/>
    <w:basedOn w:val="1"/>
    <w:qFormat/>
    <w:uiPriority w:val="0"/>
    <w:pPr>
      <w:jc w:val="left"/>
    </w:pPr>
    <w:rPr>
      <w:rFonts w:ascii="宋体"/>
      <w:bCs/>
      <w:sz w:val="18"/>
      <w:szCs w:val="18"/>
    </w:rPr>
  </w:style>
  <w:style w:type="paragraph" w:customStyle="1" w:styleId="290">
    <w:name w:val="正文文本缩进 31"/>
    <w:basedOn w:val="1"/>
    <w:qFormat/>
    <w:uiPriority w:val="0"/>
    <w:pPr>
      <w:ind w:firstLine="213"/>
    </w:pPr>
    <w:rPr>
      <w:rFonts w:ascii="仿宋_GB2312" w:eastAsia="仿宋_GB2312"/>
      <w:sz w:val="30"/>
    </w:rPr>
  </w:style>
  <w:style w:type="paragraph" w:customStyle="1" w:styleId="291">
    <w:name w:val="索引 71"/>
    <w:basedOn w:val="1"/>
    <w:next w:val="1"/>
    <w:qFormat/>
    <w:uiPriority w:val="0"/>
    <w:pPr>
      <w:ind w:left="1200"/>
    </w:pPr>
  </w:style>
  <w:style w:type="paragraph" w:customStyle="1" w:styleId="292">
    <w:name w:val="索引 91"/>
    <w:basedOn w:val="1"/>
    <w:next w:val="1"/>
    <w:qFormat/>
    <w:uiPriority w:val="0"/>
    <w:pPr>
      <w:ind w:left="1600"/>
    </w:pPr>
  </w:style>
  <w:style w:type="paragraph" w:customStyle="1" w:styleId="293">
    <w:name w:val="图表目录11"/>
    <w:basedOn w:val="1"/>
    <w:next w:val="1"/>
    <w:qFormat/>
    <w:uiPriority w:val="0"/>
    <w:pPr>
      <w:widowControl/>
      <w:ind w:left="400" w:hanging="200"/>
      <w:jc w:val="left"/>
    </w:pPr>
    <w:rPr>
      <w:rFonts w:ascii="宋体"/>
      <w:bCs/>
      <w:szCs w:val="21"/>
    </w:rPr>
  </w:style>
  <w:style w:type="paragraph" w:customStyle="1" w:styleId="294">
    <w:name w:val="正文文本 21"/>
    <w:basedOn w:val="1"/>
    <w:qFormat/>
    <w:uiPriority w:val="0"/>
    <w:pPr>
      <w:spacing w:line="560" w:lineRule="exact"/>
    </w:pPr>
    <w:rPr>
      <w:rFonts w:ascii="仿宋_GB2312" w:eastAsia="仿宋_GB2312"/>
      <w:sz w:val="28"/>
      <w:szCs w:val="30"/>
    </w:rPr>
  </w:style>
  <w:style w:type="paragraph" w:customStyle="1" w:styleId="295">
    <w:name w:val="列表接续 21"/>
    <w:basedOn w:val="1"/>
    <w:qFormat/>
    <w:uiPriority w:val="0"/>
    <w:pPr>
      <w:spacing w:after="120"/>
      <w:ind w:left="840"/>
    </w:pPr>
  </w:style>
  <w:style w:type="paragraph" w:customStyle="1" w:styleId="29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customStyle="1" w:styleId="297">
    <w:name w:val="普通(网站)1"/>
    <w:basedOn w:val="1"/>
    <w:qFormat/>
    <w:uiPriority w:val="99"/>
    <w:pPr>
      <w:widowControl/>
      <w:spacing w:before="100" w:beforeAutospacing="1" w:after="100" w:afterAutospacing="1"/>
      <w:jc w:val="left"/>
    </w:pPr>
    <w:rPr>
      <w:rFonts w:ascii="宋体"/>
      <w:sz w:val="24"/>
      <w:szCs w:val="20"/>
    </w:rPr>
  </w:style>
  <w:style w:type="paragraph" w:customStyle="1" w:styleId="298">
    <w:name w:val="索引 21"/>
    <w:basedOn w:val="1"/>
    <w:next w:val="1"/>
    <w:qFormat/>
    <w:uiPriority w:val="0"/>
    <w:pPr>
      <w:ind w:left="200"/>
    </w:pPr>
  </w:style>
  <w:style w:type="paragraph" w:customStyle="1" w:styleId="299">
    <w:name w:val="标题1"/>
    <w:basedOn w:val="1"/>
    <w:qFormat/>
    <w:uiPriority w:val="0"/>
    <w:pPr>
      <w:spacing w:before="240" w:after="60"/>
      <w:jc w:val="center"/>
      <w:outlineLvl w:val="0"/>
    </w:pPr>
    <w:rPr>
      <w:rFonts w:ascii="Cambria" w:hAnsi="Cambria"/>
      <w:b/>
      <w:bCs/>
      <w:sz w:val="32"/>
      <w:szCs w:val="32"/>
    </w:rPr>
  </w:style>
  <w:style w:type="paragraph" w:customStyle="1" w:styleId="300">
    <w:name w:val="批注主题1"/>
    <w:basedOn w:val="266"/>
    <w:next w:val="266"/>
    <w:qFormat/>
    <w:uiPriority w:val="0"/>
    <w:rPr>
      <w:b/>
    </w:rPr>
  </w:style>
  <w:style w:type="paragraph" w:customStyle="1" w:styleId="301">
    <w:name w:val="正文文本首行缩进1"/>
    <w:basedOn w:val="271"/>
    <w:qFormat/>
    <w:uiPriority w:val="0"/>
    <w:pPr>
      <w:spacing w:after="120" w:line="240" w:lineRule="auto"/>
      <w:ind w:firstLine="100"/>
    </w:pPr>
    <w:rPr>
      <w:rFonts w:ascii="Times New Roman" w:hAnsi="Times New Roman" w:eastAsia="宋体"/>
      <w:sz w:val="21"/>
    </w:rPr>
  </w:style>
  <w:style w:type="paragraph" w:customStyle="1" w:styleId="302">
    <w:name w:val="正文文本首行缩进 211"/>
    <w:basedOn w:val="102"/>
    <w:link w:val="303"/>
    <w:qFormat/>
    <w:uiPriority w:val="0"/>
    <w:pPr>
      <w:ind w:left="200" w:firstLine="200"/>
    </w:pPr>
    <w:rPr>
      <w:rFonts w:ascii="Times New Roman" w:hAnsi="Times New Roman"/>
      <w:sz w:val="24"/>
      <w:szCs w:val="24"/>
    </w:rPr>
  </w:style>
  <w:style w:type="character" w:customStyle="1" w:styleId="303">
    <w:name w:val="正文文本首行缩进 2 字符"/>
    <w:link w:val="302"/>
    <w:qFormat/>
    <w:uiPriority w:val="0"/>
    <w:rPr>
      <w:rFonts w:eastAsia="仿宋_GB2312"/>
      <w:sz w:val="24"/>
      <w:szCs w:val="24"/>
      <w:lang w:bidi="ar-SA"/>
    </w:rPr>
  </w:style>
  <w:style w:type="table" w:customStyle="1" w:styleId="304">
    <w:name w:val="网格型1"/>
    <w:basedOn w:val="256"/>
    <w:qFormat/>
    <w:uiPriority w:val="0"/>
  </w:style>
  <w:style w:type="character" w:customStyle="1" w:styleId="305">
    <w:name w:val="要点1"/>
    <w:qFormat/>
    <w:uiPriority w:val="0"/>
    <w:rPr>
      <w:b/>
    </w:rPr>
  </w:style>
  <w:style w:type="character" w:customStyle="1" w:styleId="306">
    <w:name w:val="尾注引用1"/>
    <w:qFormat/>
    <w:uiPriority w:val="0"/>
    <w:rPr>
      <w:vertAlign w:val="superscript"/>
    </w:rPr>
  </w:style>
  <w:style w:type="character" w:customStyle="1" w:styleId="307">
    <w:name w:val="页码1"/>
    <w:qFormat/>
    <w:uiPriority w:val="0"/>
  </w:style>
  <w:style w:type="character" w:customStyle="1" w:styleId="308">
    <w:name w:val="访问过的超链接1"/>
    <w:qFormat/>
    <w:uiPriority w:val="0"/>
    <w:rPr>
      <w:color w:val="800080"/>
      <w:u w:val="single"/>
    </w:rPr>
  </w:style>
  <w:style w:type="character" w:customStyle="1" w:styleId="309">
    <w:name w:val="强调1"/>
    <w:qFormat/>
    <w:uiPriority w:val="0"/>
    <w:rPr>
      <w:color w:val="CC0033"/>
    </w:rPr>
  </w:style>
  <w:style w:type="character" w:customStyle="1" w:styleId="310">
    <w:name w:val="HTML 打字机1"/>
    <w:qFormat/>
    <w:uiPriority w:val="0"/>
    <w:rPr>
      <w:rFonts w:ascii="宋体" w:eastAsia="宋体" w:cs="宋体"/>
      <w:sz w:val="24"/>
      <w:szCs w:val="24"/>
      <w:lang w:bidi="ar-SA"/>
    </w:rPr>
  </w:style>
  <w:style w:type="character" w:customStyle="1" w:styleId="311">
    <w:name w:val="超链接1"/>
    <w:qFormat/>
    <w:uiPriority w:val="99"/>
    <w:rPr>
      <w:color w:val="0000FF"/>
      <w:u w:val="single"/>
    </w:rPr>
  </w:style>
  <w:style w:type="character" w:customStyle="1" w:styleId="312">
    <w:name w:val="批注引用1"/>
    <w:qFormat/>
    <w:uiPriority w:val="0"/>
    <w:rPr>
      <w:sz w:val="21"/>
    </w:rPr>
  </w:style>
  <w:style w:type="character" w:customStyle="1" w:styleId="313">
    <w:name w:val="脚注引用1"/>
    <w:qFormat/>
    <w:uiPriority w:val="0"/>
    <w:rPr>
      <w:vertAlign w:val="superscript"/>
    </w:rPr>
  </w:style>
  <w:style w:type="paragraph" w:customStyle="1" w:styleId="314">
    <w:name w:val="正文（标记）"/>
    <w:basedOn w:val="1"/>
    <w:link w:val="315"/>
    <w:qFormat/>
    <w:uiPriority w:val="0"/>
    <w:pPr>
      <w:tabs>
        <w:tab w:val="left" w:pos="0"/>
        <w:tab w:val="left" w:pos="840"/>
      </w:tabs>
      <w:spacing w:before="50" w:after="50"/>
    </w:pPr>
    <w:rPr>
      <w:rFonts w:ascii="Times New Roman" w:hAnsi="Times New Roman"/>
      <w:sz w:val="24"/>
      <w:szCs w:val="24"/>
    </w:rPr>
  </w:style>
  <w:style w:type="character" w:customStyle="1" w:styleId="315">
    <w:name w:val="正文（标记） Char2"/>
    <w:link w:val="314"/>
    <w:qFormat/>
    <w:uiPriority w:val="0"/>
    <w:rPr>
      <w:sz w:val="24"/>
      <w:szCs w:val="24"/>
    </w:rPr>
  </w:style>
  <w:style w:type="character" w:customStyle="1" w:styleId="316">
    <w:name w:val="Char Char2"/>
    <w:qFormat/>
    <w:uiPriority w:val="0"/>
    <w:rPr>
      <w:sz w:val="18"/>
      <w:szCs w:val="18"/>
    </w:rPr>
  </w:style>
  <w:style w:type="character" w:customStyle="1" w:styleId="317">
    <w:name w:val="maywed421"/>
    <w:qFormat/>
    <w:uiPriority w:val="0"/>
    <w:rPr>
      <w:color w:val="366FB6"/>
      <w:u w:val="none"/>
    </w:rPr>
  </w:style>
  <w:style w:type="paragraph" w:customStyle="1" w:styleId="318">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sz w:val="24"/>
      <w:szCs w:val="24"/>
      <w:lang w:val="en-US" w:eastAsia="zh-CN" w:bidi="ar-SA"/>
    </w:rPr>
  </w:style>
  <w:style w:type="paragraph" w:customStyle="1" w:styleId="319">
    <w:name w:val="一级缩进"/>
    <w:qFormat/>
    <w:uiPriority w:val="0"/>
    <w:pPr>
      <w:tabs>
        <w:tab w:val="left" w:pos="0"/>
        <w:tab w:val="left" w:pos="568"/>
      </w:tabs>
      <w:spacing w:before="120" w:after="120" w:line="360" w:lineRule="auto"/>
      <w:jc w:val="both"/>
    </w:pPr>
    <w:rPr>
      <w:rFonts w:ascii="Times New Roman" w:hAnsi="Times New Roman" w:eastAsia="仿宋_GB2312" w:cs="Times New Roman"/>
      <w:sz w:val="24"/>
      <w:szCs w:val="24"/>
      <w:lang w:val="en-US" w:eastAsia="zh-CN" w:bidi="ar-SA"/>
    </w:rPr>
  </w:style>
  <w:style w:type="character" w:customStyle="1" w:styleId="320">
    <w:name w:val="Comment Text Char"/>
    <w:qFormat/>
    <w:uiPriority w:val="0"/>
    <w:rPr>
      <w:rFonts w:cs="Times New Roman"/>
      <w:sz w:val="21"/>
      <w:szCs w:val="21"/>
      <w:lang w:bidi="ar-SA"/>
    </w:rPr>
  </w:style>
  <w:style w:type="character" w:customStyle="1" w:styleId="321">
    <w:name w:val="Footer Char"/>
    <w:qFormat/>
    <w:uiPriority w:val="0"/>
    <w:rPr>
      <w:rFonts w:eastAsia="宋体"/>
      <w:sz w:val="18"/>
      <w:lang w:val="en-US" w:eastAsia="zh-CN"/>
    </w:rPr>
  </w:style>
  <w:style w:type="character" w:customStyle="1" w:styleId="322">
    <w:name w:val="ca-41"/>
    <w:qFormat/>
    <w:uiPriority w:val="0"/>
    <w:rPr>
      <w:rFonts w:ascii="宋体" w:eastAsia="宋体"/>
      <w:b/>
      <w:bCs/>
      <w:color w:val="000000"/>
      <w:spacing w:val="-20"/>
      <w:sz w:val="21"/>
      <w:szCs w:val="21"/>
    </w:rPr>
  </w:style>
  <w:style w:type="character" w:customStyle="1" w:styleId="323">
    <w:name w:val="ca-1"/>
    <w:qFormat/>
    <w:uiPriority w:val="0"/>
  </w:style>
  <w:style w:type="character" w:customStyle="1" w:styleId="324">
    <w:name w:val="Plain Text Char"/>
    <w:qFormat/>
    <w:uiPriority w:val="0"/>
    <w:rPr>
      <w:rFonts w:ascii="宋体" w:eastAsia="宋体"/>
      <w:sz w:val="21"/>
      <w:lang w:val="en-US" w:eastAsia="zh-CN"/>
    </w:rPr>
  </w:style>
  <w:style w:type="character" w:customStyle="1" w:styleId="325">
    <w:name w:val="Header Char"/>
    <w:qFormat/>
    <w:uiPriority w:val="0"/>
    <w:rPr>
      <w:rFonts w:eastAsia="宋体"/>
      <w:sz w:val="18"/>
      <w:lang w:val="en-US" w:eastAsia="zh-CN"/>
    </w:rPr>
  </w:style>
  <w:style w:type="character" w:customStyle="1" w:styleId="326">
    <w:name w:val="marklong"/>
    <w:qFormat/>
    <w:uiPriority w:val="0"/>
  </w:style>
  <w:style w:type="character" w:customStyle="1" w:styleId="327">
    <w:name w:val="普通文字1 Char"/>
    <w:qFormat/>
    <w:uiPriority w:val="0"/>
    <w:rPr>
      <w:rFonts w:ascii="宋体" w:eastAsia="宋体" w:cs="Courier New"/>
      <w:sz w:val="21"/>
      <w:szCs w:val="21"/>
      <w:lang w:val="en-US" w:eastAsia="zh-CN" w:bidi="ar-SA"/>
    </w:rPr>
  </w:style>
  <w:style w:type="character" w:customStyle="1" w:styleId="328">
    <w:name w:val="ca-21"/>
    <w:qFormat/>
    <w:uiPriority w:val="0"/>
    <w:rPr>
      <w:rFonts w:ascii="宋体" w:eastAsia="宋体"/>
      <w:sz w:val="21"/>
    </w:rPr>
  </w:style>
  <w:style w:type="paragraph" w:customStyle="1" w:styleId="329">
    <w:name w:val="正文（缩进）"/>
    <w:basedOn w:val="1"/>
    <w:qFormat/>
    <w:uiPriority w:val="0"/>
    <w:pPr>
      <w:spacing w:before="50" w:after="50" w:line="360" w:lineRule="auto"/>
      <w:ind w:firstLine="200"/>
    </w:pPr>
    <w:rPr>
      <w:sz w:val="24"/>
    </w:rPr>
  </w:style>
  <w:style w:type="character" w:customStyle="1" w:styleId="330">
    <w:name w:val="Heading 3 Char"/>
    <w:qFormat/>
    <w:uiPriority w:val="0"/>
    <w:rPr>
      <w:rFonts w:cs="Times New Roman"/>
      <w:b/>
      <w:bCs/>
      <w:sz w:val="32"/>
      <w:szCs w:val="32"/>
      <w:lang w:bidi="ar-SA"/>
    </w:rPr>
  </w:style>
  <w:style w:type="character" w:customStyle="1" w:styleId="331">
    <w:name w:val="z12 style23"/>
    <w:qFormat/>
    <w:uiPriority w:val="0"/>
  </w:style>
  <w:style w:type="paragraph" w:customStyle="1" w:styleId="332">
    <w:name w:val="Indent Normal"/>
    <w:basedOn w:val="1"/>
    <w:qFormat/>
    <w:uiPriority w:val="0"/>
    <w:pPr>
      <w:ind w:firstLine="150"/>
    </w:pPr>
    <w:rPr>
      <w:sz w:val="24"/>
      <w:szCs w:val="20"/>
    </w:rPr>
  </w:style>
  <w:style w:type="character" w:customStyle="1" w:styleId="333">
    <w:name w:val="Char Char21"/>
    <w:qFormat/>
    <w:uiPriority w:val="0"/>
    <w:rPr>
      <w:sz w:val="18"/>
      <w:szCs w:val="18"/>
    </w:rPr>
  </w:style>
  <w:style w:type="character" w:customStyle="1" w:styleId="334">
    <w:name w:val="ca-31"/>
    <w:qFormat/>
    <w:uiPriority w:val="0"/>
    <w:rPr>
      <w:rFonts w:ascii="宋体" w:eastAsia="宋体"/>
      <w:color w:val="000000"/>
      <w:sz w:val="21"/>
      <w:szCs w:val="21"/>
    </w:rPr>
  </w:style>
  <w:style w:type="character" w:customStyle="1" w:styleId="335">
    <w:name w:val="apple-converted-space"/>
    <w:qFormat/>
    <w:uiPriority w:val="0"/>
  </w:style>
  <w:style w:type="character" w:customStyle="1" w:styleId="336">
    <w:name w:val="Char Char1"/>
    <w:qFormat/>
    <w:uiPriority w:val="0"/>
    <w:rPr>
      <w:rFonts w:ascii="宋体" w:eastAsia="宋体"/>
      <w:sz w:val="21"/>
      <w:lang w:val="en-US" w:eastAsia="zh-CN"/>
    </w:rPr>
  </w:style>
  <w:style w:type="character" w:customStyle="1" w:styleId="337">
    <w:name w:val="font21"/>
    <w:qFormat/>
    <w:uiPriority w:val="0"/>
    <w:rPr>
      <w:rFonts w:ascii="Times New Roman" w:hAnsi="Times New Roman"/>
      <w:color w:val="000000"/>
      <w:sz w:val="20"/>
      <w:u w:val="none"/>
    </w:rPr>
  </w:style>
  <w:style w:type="character" w:customStyle="1" w:styleId="338">
    <w:name w:val="ca-01"/>
    <w:qFormat/>
    <w:uiPriority w:val="0"/>
    <w:rPr>
      <w:rFonts w:ascii="宋体" w:eastAsia="宋体"/>
      <w:b/>
      <w:bCs/>
      <w:spacing w:val="-20"/>
      <w:sz w:val="24"/>
      <w:szCs w:val="24"/>
    </w:rPr>
  </w:style>
  <w:style w:type="character" w:customStyle="1" w:styleId="339">
    <w:name w:val="Char Char23"/>
    <w:qFormat/>
    <w:uiPriority w:val="0"/>
    <w:rPr>
      <w:sz w:val="24"/>
      <w:szCs w:val="21"/>
      <w:lang w:bidi="ar-SA"/>
    </w:rPr>
  </w:style>
  <w:style w:type="character" w:customStyle="1" w:styleId="340">
    <w:name w:val="Char Char"/>
    <w:qFormat/>
    <w:uiPriority w:val="0"/>
    <w:rPr>
      <w:rFonts w:eastAsia="宋体"/>
      <w:sz w:val="18"/>
      <w:lang w:val="en-US" w:eastAsia="zh-CN"/>
    </w:rPr>
  </w:style>
  <w:style w:type="character" w:customStyle="1" w:styleId="341">
    <w:name w:val="Char Char3"/>
    <w:qFormat/>
    <w:uiPriority w:val="0"/>
    <w:rPr>
      <w:rFonts w:ascii="宋体" w:eastAsia="宋体"/>
      <w:sz w:val="18"/>
      <w:szCs w:val="18"/>
      <w:lang w:val="en-US" w:eastAsia="zh-CN" w:bidi="ar-SA"/>
    </w:rPr>
  </w:style>
  <w:style w:type="paragraph" w:customStyle="1" w:styleId="342">
    <w:name w:val="段落"/>
    <w:qFormat/>
    <w:uiPriority w:val="0"/>
    <w:pPr>
      <w:spacing w:before="120" w:after="120" w:line="360" w:lineRule="auto"/>
      <w:ind w:firstLine="420"/>
      <w:jc w:val="both"/>
    </w:pPr>
    <w:rPr>
      <w:rFonts w:ascii="Times New Roman" w:hAnsi="Times New Roman" w:eastAsia="仿宋_GB2312" w:cs="Times New Roman"/>
      <w:sz w:val="24"/>
      <w:szCs w:val="24"/>
      <w:lang w:val="en-US" w:eastAsia="zh-CN" w:bidi="ar-SA"/>
    </w:rPr>
  </w:style>
  <w:style w:type="character" w:customStyle="1" w:styleId="343">
    <w:name w:val="Heading 4 Char"/>
    <w:qFormat/>
    <w:uiPriority w:val="0"/>
    <w:rPr>
      <w:rFonts w:ascii="Cambria" w:hAnsi="Cambria" w:eastAsia="宋体" w:cs="Cambria"/>
      <w:b/>
      <w:bCs/>
      <w:sz w:val="28"/>
      <w:szCs w:val="28"/>
      <w:lang w:bidi="ar-SA"/>
    </w:rPr>
  </w:style>
  <w:style w:type="character" w:customStyle="1" w:styleId="344">
    <w:name w:val="Header Char1"/>
    <w:qFormat/>
    <w:uiPriority w:val="0"/>
    <w:rPr>
      <w:rFonts w:cs="Times New Roman"/>
      <w:sz w:val="18"/>
      <w:szCs w:val="18"/>
      <w:lang w:bidi="ar-SA"/>
    </w:rPr>
  </w:style>
  <w:style w:type="character" w:customStyle="1" w:styleId="345">
    <w:name w:val="Footer Char1"/>
    <w:qFormat/>
    <w:uiPriority w:val="0"/>
    <w:rPr>
      <w:rFonts w:cs="Times New Roman"/>
      <w:sz w:val="18"/>
      <w:szCs w:val="18"/>
      <w:lang w:bidi="ar-SA"/>
    </w:rPr>
  </w:style>
  <w:style w:type="character" w:customStyle="1" w:styleId="346">
    <w:name w:val="wj1"/>
    <w:qFormat/>
    <w:uiPriority w:val="0"/>
    <w:rPr>
      <w:color w:val="000000"/>
      <w:sz w:val="18"/>
      <w:szCs w:val="18"/>
      <w:u w:val="none"/>
    </w:rPr>
  </w:style>
  <w:style w:type="character" w:customStyle="1" w:styleId="347">
    <w:name w:val="ca-11"/>
    <w:qFormat/>
    <w:uiPriority w:val="0"/>
    <w:rPr>
      <w:rFonts w:ascii="宋体" w:eastAsia="宋体"/>
      <w:b/>
      <w:bCs/>
      <w:color w:val="000000"/>
      <w:spacing w:val="-20"/>
      <w:sz w:val="28"/>
      <w:szCs w:val="28"/>
    </w:rPr>
  </w:style>
  <w:style w:type="paragraph" w:customStyle="1" w:styleId="348">
    <w:name w:val="表格样式居中"/>
    <w:qFormat/>
    <w:uiPriority w:val="0"/>
    <w:pPr>
      <w:jc w:val="center"/>
    </w:pPr>
    <w:rPr>
      <w:rFonts w:ascii="Times New Roman" w:hAnsi="Times New Roman" w:eastAsia="仿宋_GB2312" w:cs="Times New Roman"/>
      <w:bCs/>
      <w:sz w:val="21"/>
      <w:szCs w:val="44"/>
      <w:lang w:val="en-US" w:eastAsia="zh-CN" w:bidi="ar-SA"/>
    </w:rPr>
  </w:style>
  <w:style w:type="character" w:customStyle="1" w:styleId="349">
    <w:name w:val="Plain Text Char1"/>
    <w:qFormat/>
    <w:uiPriority w:val="0"/>
    <w:rPr>
      <w:rFonts w:ascii="宋体" w:eastAsia="宋体"/>
      <w:sz w:val="21"/>
      <w:szCs w:val="21"/>
      <w:lang w:val="en-US" w:eastAsia="zh-CN" w:bidi="ar-SA"/>
    </w:rPr>
  </w:style>
  <w:style w:type="character" w:customStyle="1" w:styleId="350">
    <w:name w:val="段落 Char"/>
    <w:qFormat/>
    <w:uiPriority w:val="0"/>
    <w:rPr>
      <w:rFonts w:ascii="仿宋_GB2312" w:eastAsia="仿宋_GB2312"/>
      <w:sz w:val="24"/>
      <w:szCs w:val="24"/>
      <w:lang w:val="en-US" w:eastAsia="zh-CN" w:bidi="ar-SA"/>
    </w:rPr>
  </w:style>
  <w:style w:type="character" w:customStyle="1" w:styleId="351">
    <w:name w:val="Heading 2 Char"/>
    <w:qFormat/>
    <w:uiPriority w:val="0"/>
    <w:rPr>
      <w:rFonts w:ascii="Arial" w:hAnsi="Arial" w:eastAsia="黑体"/>
      <w:b/>
      <w:bCs/>
      <w:sz w:val="32"/>
      <w:szCs w:val="32"/>
      <w:lang w:val="en-US" w:eastAsia="zh-CN" w:bidi="ar-SA"/>
    </w:rPr>
  </w:style>
  <w:style w:type="paragraph" w:customStyle="1" w:styleId="352">
    <w:name w:val="表格样式居左"/>
    <w:qFormat/>
    <w:uiPriority w:val="0"/>
    <w:pPr>
      <w:spacing w:before="120" w:after="120" w:line="400" w:lineRule="exact"/>
      <w:jc w:val="both"/>
    </w:pPr>
    <w:rPr>
      <w:rFonts w:ascii="Times New Roman" w:hAnsi="Times New Roman" w:eastAsia="仿宋_GB2312" w:cs="Times New Roman"/>
      <w:bCs/>
      <w:sz w:val="21"/>
      <w:szCs w:val="21"/>
      <w:lang w:val="en-US" w:eastAsia="zh-CN" w:bidi="ar-SA"/>
    </w:rPr>
  </w:style>
  <w:style w:type="character" w:customStyle="1" w:styleId="353">
    <w:name w:val="Char Char31"/>
    <w:qFormat/>
    <w:uiPriority w:val="0"/>
    <w:rPr>
      <w:rFonts w:ascii="Arial" w:hAnsi="Arial" w:eastAsia="黑体" w:cs="Times New Roman"/>
      <w:b/>
      <w:bCs/>
      <w:sz w:val="32"/>
      <w:szCs w:val="32"/>
      <w:lang w:val="en-US" w:eastAsia="zh-CN" w:bidi="ar-SA"/>
    </w:rPr>
  </w:style>
  <w:style w:type="paragraph" w:customStyle="1" w:styleId="354">
    <w:name w:val="正文（黑体）"/>
    <w:basedOn w:val="1"/>
    <w:next w:val="1"/>
    <w:qFormat/>
    <w:uiPriority w:val="0"/>
    <w:pPr>
      <w:spacing w:before="50" w:after="50" w:line="360" w:lineRule="auto"/>
      <w:ind w:firstLine="200"/>
    </w:pPr>
    <w:rPr>
      <w:rFonts w:ascii="黑体" w:eastAsia="黑体"/>
      <w:color w:val="000080"/>
      <w:sz w:val="24"/>
    </w:rPr>
  </w:style>
  <w:style w:type="character" w:customStyle="1" w:styleId="355">
    <w:name w:val="ca-51"/>
    <w:qFormat/>
    <w:uiPriority w:val="0"/>
    <w:rPr>
      <w:rFonts w:ascii="楷体_GB2312" w:eastAsia="楷体_GB2312"/>
      <w:b/>
      <w:bCs/>
      <w:spacing w:val="-20"/>
      <w:sz w:val="24"/>
      <w:szCs w:val="24"/>
    </w:rPr>
  </w:style>
  <w:style w:type="paragraph" w:customStyle="1" w:styleId="356">
    <w:name w:val="加点正文缩进"/>
    <w:basedOn w:val="1"/>
    <w:qFormat/>
    <w:uiPriority w:val="0"/>
    <w:pPr>
      <w:tabs>
        <w:tab w:val="left" w:pos="840"/>
      </w:tabs>
      <w:spacing w:line="300" w:lineRule="auto"/>
      <w:ind w:left="962" w:hanging="480"/>
    </w:pPr>
    <w:rPr>
      <w:sz w:val="24"/>
    </w:rPr>
  </w:style>
  <w:style w:type="paragraph" w:customStyle="1" w:styleId="357">
    <w:name w:val="默认段落字体 Para Char Char Char Char Char Char Char Char Char Char Char Char Char Char"/>
    <w:basedOn w:val="265"/>
    <w:qFormat/>
    <w:uiPriority w:val="0"/>
    <w:rPr>
      <w:rFonts w:ascii="Tahoma" w:hAnsi="Tahoma"/>
      <w:sz w:val="24"/>
    </w:rPr>
  </w:style>
  <w:style w:type="paragraph" w:customStyle="1" w:styleId="358">
    <w:name w:val="列表段落1"/>
    <w:basedOn w:val="1"/>
    <w:qFormat/>
    <w:uiPriority w:val="0"/>
    <w:pPr>
      <w:ind w:firstLine="200"/>
    </w:pPr>
  </w:style>
  <w:style w:type="paragraph" w:customStyle="1" w:styleId="359">
    <w:name w:val="序号"/>
    <w:next w:val="1"/>
    <w:qFormat/>
    <w:uiPriority w:val="0"/>
    <w:pPr>
      <w:jc w:val="center"/>
    </w:pPr>
    <w:rPr>
      <w:rFonts w:ascii="Times New Roman" w:hAnsi="Times New Roman" w:eastAsia="仿宋_GB2312" w:cs="Times New Roman"/>
      <w:bCs/>
      <w:sz w:val="21"/>
      <w:szCs w:val="44"/>
      <w:lang w:val="en-US" w:eastAsia="zh-CN" w:bidi="ar-SA"/>
    </w:rPr>
  </w:style>
  <w:style w:type="paragraph" w:customStyle="1" w:styleId="360">
    <w:name w:val="Char"/>
    <w:basedOn w:val="1"/>
    <w:qFormat/>
    <w:uiPriority w:val="0"/>
    <w:pPr>
      <w:tabs>
        <w:tab w:val="left" w:pos="360"/>
      </w:tabs>
    </w:pPr>
    <w:rPr>
      <w:rFonts w:ascii="仿宋_GB2312" w:eastAsia="仿宋_GB2312"/>
      <w:b/>
      <w:sz w:val="24"/>
    </w:rPr>
  </w:style>
  <w:style w:type="paragraph" w:customStyle="1" w:styleId="361">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62">
    <w:name w:val="xl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63">
    <w:name w:val="Char Char Char"/>
    <w:basedOn w:val="1"/>
    <w:qFormat/>
    <w:uiPriority w:val="0"/>
    <w:rPr>
      <w:rFonts w:ascii="Tahoma" w:hAnsi="Tahoma"/>
      <w:sz w:val="24"/>
      <w:szCs w:val="20"/>
    </w:rPr>
  </w:style>
  <w:style w:type="paragraph" w:customStyle="1" w:styleId="364">
    <w:name w:val="Char12"/>
    <w:basedOn w:val="1"/>
    <w:qFormat/>
    <w:uiPriority w:val="0"/>
    <w:pPr>
      <w:tabs>
        <w:tab w:val="left" w:pos="360"/>
      </w:tabs>
      <w:spacing w:line="480" w:lineRule="auto"/>
      <w:ind w:left="360" w:right="202" w:firstLine="360"/>
    </w:pPr>
    <w:rPr>
      <w:sz w:val="24"/>
    </w:rPr>
  </w:style>
  <w:style w:type="paragraph" w:customStyle="1" w:styleId="365">
    <w:name w:val="Char Char Char Char Char Char Char Char Char Char"/>
    <w:basedOn w:val="1"/>
    <w:qFormat/>
    <w:uiPriority w:val="0"/>
    <w:rPr>
      <w:rFonts w:ascii="Tahoma" w:hAnsi="Tahoma"/>
      <w:sz w:val="24"/>
      <w:szCs w:val="20"/>
    </w:rPr>
  </w:style>
  <w:style w:type="paragraph" w:customStyle="1" w:styleId="366">
    <w:name w:val="正文段"/>
    <w:basedOn w:val="1"/>
    <w:qFormat/>
    <w:uiPriority w:val="0"/>
    <w:pPr>
      <w:widowControl/>
      <w:spacing w:after="240" w:line="240" w:lineRule="atLeast"/>
      <w:ind w:firstLine="425"/>
    </w:pPr>
    <w:rPr>
      <w:sz w:val="24"/>
      <w:szCs w:val="20"/>
    </w:rPr>
  </w:style>
  <w:style w:type="paragraph" w:customStyle="1" w:styleId="367">
    <w:name w:val="段"/>
    <w:qFormat/>
    <w:uiPriority w:val="0"/>
    <w:pPr>
      <w:ind w:firstLine="200"/>
      <w:jc w:val="both"/>
    </w:pPr>
    <w:rPr>
      <w:rFonts w:ascii="宋体" w:hAnsi="Times New Roman" w:eastAsia="宋体" w:cs="Times New Roman"/>
      <w:sz w:val="21"/>
      <w:lang w:val="en-US" w:eastAsia="zh-CN" w:bidi="ar-SA"/>
    </w:rPr>
  </w:style>
  <w:style w:type="paragraph" w:customStyle="1" w:styleId="368">
    <w:name w:val="Char Char Char Char Char Char Char Char Char Char1"/>
    <w:basedOn w:val="1"/>
    <w:qFormat/>
    <w:uiPriority w:val="0"/>
    <w:rPr>
      <w:rFonts w:ascii="Tahoma" w:hAnsi="Tahoma" w:cs="Tahoma"/>
      <w:sz w:val="24"/>
    </w:rPr>
  </w:style>
  <w:style w:type="paragraph" w:customStyle="1" w:styleId="369">
    <w:name w:val="xl34"/>
    <w:basedOn w:val="1"/>
    <w:qFormat/>
    <w:uiPriority w:val="0"/>
    <w:pPr>
      <w:widowControl/>
      <w:spacing w:before="100" w:beforeAutospacing="1" w:after="100" w:afterAutospacing="1"/>
      <w:jc w:val="center"/>
    </w:pPr>
    <w:rPr>
      <w:rFonts w:ascii="Arial Unicode MS" w:hAnsi="Arial Unicode MS" w:eastAsia="Arial Unicode MS"/>
      <w:sz w:val="24"/>
    </w:rPr>
  </w:style>
  <w:style w:type="paragraph" w:customStyle="1" w:styleId="37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1">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72">
    <w:name w:val="pa-0"/>
    <w:basedOn w:val="1"/>
    <w:qFormat/>
    <w:uiPriority w:val="0"/>
    <w:pPr>
      <w:widowControl/>
      <w:spacing w:line="360" w:lineRule="atLeast"/>
      <w:ind w:firstLine="480"/>
    </w:pPr>
    <w:rPr>
      <w:rFonts w:ascii="宋体" w:cs="宋体"/>
      <w:sz w:val="24"/>
    </w:rPr>
  </w:style>
  <w:style w:type="paragraph" w:customStyle="1" w:styleId="373">
    <w:name w:val="Char111"/>
    <w:basedOn w:val="1"/>
    <w:qFormat/>
    <w:uiPriority w:val="0"/>
    <w:pPr>
      <w:widowControl/>
      <w:spacing w:after="160" w:line="240" w:lineRule="exact"/>
      <w:jc w:val="left"/>
    </w:pPr>
    <w:rPr>
      <w:rFonts w:ascii="Verdana" w:hAnsi="Verdana"/>
      <w:sz w:val="20"/>
      <w:szCs w:val="20"/>
      <w:lang w:eastAsia="en-US"/>
    </w:rPr>
  </w:style>
  <w:style w:type="paragraph" w:customStyle="1" w:styleId="374">
    <w:name w:val="三级条标题"/>
    <w:basedOn w:val="375"/>
    <w:next w:val="367"/>
    <w:qFormat/>
    <w:uiPriority w:val="0"/>
    <w:pPr>
      <w:ind w:left="1050"/>
      <w:outlineLvl w:val="4"/>
    </w:pPr>
  </w:style>
  <w:style w:type="paragraph" w:customStyle="1" w:styleId="375">
    <w:name w:val="二级条标题"/>
    <w:basedOn w:val="376"/>
    <w:next w:val="367"/>
    <w:qFormat/>
    <w:uiPriority w:val="0"/>
    <w:pPr>
      <w:ind w:left="360"/>
      <w:outlineLvl w:val="3"/>
    </w:pPr>
  </w:style>
  <w:style w:type="paragraph" w:customStyle="1" w:styleId="376">
    <w:name w:val="一级条标题"/>
    <w:next w:val="367"/>
    <w:qFormat/>
    <w:uiPriority w:val="0"/>
    <w:pPr>
      <w:outlineLvl w:val="2"/>
    </w:pPr>
    <w:rPr>
      <w:rFonts w:ascii="Times New Roman" w:hAnsi="Times New Roman" w:eastAsia="黑体" w:cs="Times New Roman"/>
      <w:sz w:val="21"/>
      <w:lang w:val="en-US" w:eastAsia="zh-CN" w:bidi="ar-SA"/>
    </w:rPr>
  </w:style>
  <w:style w:type="paragraph" w:customStyle="1" w:styleId="377">
    <w:name w:val="FA正文+标号"/>
    <w:basedOn w:val="1"/>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378">
    <w:name w:val="表文1"/>
    <w:basedOn w:val="1"/>
    <w:qFormat/>
    <w:uiPriority w:val="0"/>
    <w:pPr>
      <w:widowControl/>
      <w:spacing w:line="360" w:lineRule="auto"/>
      <w:ind w:firstLine="196"/>
    </w:pPr>
    <w:rPr>
      <w:rFonts w:ascii="宋体"/>
      <w:sz w:val="24"/>
    </w:rPr>
  </w:style>
  <w:style w:type="paragraph" w:customStyle="1" w:styleId="379">
    <w:name w:val="表内容"/>
    <w:basedOn w:val="380"/>
    <w:qFormat/>
    <w:uiPriority w:val="0"/>
    <w:pPr>
      <w:spacing w:line="320" w:lineRule="exact"/>
      <w:ind w:left="0" w:firstLine="0"/>
    </w:pPr>
    <w:rPr>
      <w:sz w:val="20"/>
    </w:rPr>
  </w:style>
  <w:style w:type="paragraph" w:customStyle="1" w:styleId="380">
    <w:name w:val="正文11"/>
    <w:basedOn w:val="1"/>
    <w:qFormat/>
    <w:uiPriority w:val="0"/>
    <w:pPr>
      <w:widowControl/>
      <w:spacing w:line="360" w:lineRule="auto"/>
      <w:ind w:left="357" w:firstLine="420"/>
      <w:jc w:val="left"/>
    </w:pPr>
    <w:rPr>
      <w:rFonts w:cs="Arial"/>
      <w:szCs w:val="20"/>
    </w:rPr>
  </w:style>
  <w:style w:type="paragraph" w:customStyle="1" w:styleId="381">
    <w:name w:val="Char Char1 Char Char Char Char Char Char"/>
    <w:basedOn w:val="1"/>
    <w:qFormat/>
    <w:uiPriority w:val="0"/>
    <w:pPr>
      <w:widowControl/>
      <w:jc w:val="center"/>
    </w:pPr>
    <w:rPr>
      <w:szCs w:val="20"/>
    </w:rPr>
  </w:style>
  <w:style w:type="paragraph" w:customStyle="1" w:styleId="382">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83">
    <w:name w:val="普通正文"/>
    <w:basedOn w:val="1"/>
    <w:qFormat/>
    <w:uiPriority w:val="0"/>
    <w:pPr>
      <w:ind w:firstLine="425"/>
      <w:jc w:val="left"/>
    </w:pPr>
    <w:rPr>
      <w:rFonts w:ascii="宋体"/>
      <w:sz w:val="20"/>
      <w:szCs w:val="20"/>
    </w:rPr>
  </w:style>
  <w:style w:type="paragraph" w:customStyle="1" w:styleId="384">
    <w:name w:val="封面标准号1"/>
    <w:qFormat/>
    <w:uiPriority w:val="0"/>
    <w:pPr>
      <w:widowControl w:val="0"/>
      <w:spacing w:before="308"/>
      <w:jc w:val="right"/>
    </w:pPr>
    <w:rPr>
      <w:rFonts w:ascii="Times New Roman" w:hAnsi="Times New Roman" w:eastAsia="宋体" w:cs="Times New Roman"/>
      <w:sz w:val="28"/>
      <w:lang w:val="en-US" w:eastAsia="zh-CN" w:bidi="ar-SA"/>
    </w:rPr>
  </w:style>
  <w:style w:type="paragraph" w:customStyle="1" w:styleId="385">
    <w:name w:val="附图标题"/>
    <w:basedOn w:val="261"/>
    <w:next w:val="260"/>
    <w:qFormat/>
    <w:uiPriority w:val="0"/>
    <w:pPr>
      <w:tabs>
        <w:tab w:val="left" w:pos="780"/>
      </w:tabs>
      <w:spacing w:after="100"/>
      <w:ind w:left="780" w:hanging="480"/>
      <w:jc w:val="center"/>
    </w:pPr>
    <w:rPr>
      <w:b/>
      <w:sz w:val="21"/>
    </w:rPr>
  </w:style>
  <w:style w:type="paragraph" w:customStyle="1" w:styleId="386">
    <w:name w:val="图号"/>
    <w:basedOn w:val="1"/>
    <w:qFormat/>
    <w:uiPriority w:val="0"/>
    <w:pPr>
      <w:keepNext/>
      <w:tabs>
        <w:tab w:val="left" w:pos="0"/>
        <w:tab w:val="left" w:pos="3360"/>
      </w:tabs>
      <w:spacing w:before="105" w:line="360" w:lineRule="auto"/>
      <w:jc w:val="center"/>
    </w:pPr>
    <w:rPr>
      <w:rFonts w:ascii="Arial" w:hAnsi="Arial"/>
      <w:sz w:val="18"/>
      <w:szCs w:val="18"/>
    </w:rPr>
  </w:style>
  <w:style w:type="paragraph" w:customStyle="1" w:styleId="387">
    <w:name w:val="xl40"/>
    <w:basedOn w:val="1"/>
    <w:qFormat/>
    <w:uiPriority w:val="0"/>
    <w:pPr>
      <w:widowControl/>
      <w:pBdr>
        <w:right w:val="single" w:color="000000" w:sz="4" w:space="0"/>
      </w:pBdr>
      <w:spacing w:before="100" w:beforeAutospacing="1" w:after="100" w:afterAutospacing="1"/>
      <w:jc w:val="left"/>
    </w:pPr>
    <w:rPr>
      <w:rFonts w:ascii="Arial Unicode MS" w:hAnsi="Arial Unicode MS"/>
      <w:sz w:val="24"/>
    </w:rPr>
  </w:style>
  <w:style w:type="paragraph" w:customStyle="1" w:styleId="388">
    <w:name w:val="缩进正文"/>
    <w:basedOn w:val="1"/>
    <w:qFormat/>
    <w:uiPriority w:val="0"/>
    <w:pPr>
      <w:widowControl/>
      <w:spacing w:after="200" w:line="400" w:lineRule="exact"/>
      <w:ind w:left="1418" w:firstLine="425"/>
      <w:jc w:val="left"/>
    </w:pPr>
    <w:rPr>
      <w:rFonts w:ascii="宋体"/>
      <w:sz w:val="24"/>
      <w:szCs w:val="20"/>
    </w:rPr>
  </w:style>
  <w:style w:type="paragraph" w:customStyle="1" w:styleId="389">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390">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391">
    <w:name w:val="Char1"/>
    <w:basedOn w:val="1"/>
    <w:qFormat/>
    <w:uiPriority w:val="0"/>
    <w:pPr>
      <w:tabs>
        <w:tab w:val="left" w:pos="360"/>
      </w:tabs>
      <w:spacing w:line="480" w:lineRule="auto"/>
      <w:ind w:left="360" w:right="202" w:firstLine="360"/>
    </w:pPr>
    <w:rPr>
      <w:sz w:val="24"/>
    </w:rPr>
  </w:style>
  <w:style w:type="paragraph" w:customStyle="1" w:styleId="392">
    <w:name w:val="首页标题"/>
    <w:qFormat/>
    <w:uiPriority w:val="0"/>
    <w:pPr>
      <w:jc w:val="center"/>
    </w:pPr>
    <w:rPr>
      <w:rFonts w:ascii="宋体" w:hAnsi="Times New Roman" w:eastAsia="宋体" w:cs="宋体"/>
      <w:sz w:val="72"/>
      <w:szCs w:val="72"/>
      <w:lang w:val="en-US" w:eastAsia="zh-CN" w:bidi="ar-SA"/>
    </w:rPr>
  </w:style>
  <w:style w:type="paragraph" w:customStyle="1" w:styleId="393">
    <w:name w:val="pa-10"/>
    <w:basedOn w:val="1"/>
    <w:qFormat/>
    <w:uiPriority w:val="0"/>
    <w:pPr>
      <w:widowControl/>
      <w:spacing w:line="240" w:lineRule="atLeast"/>
    </w:pPr>
    <w:rPr>
      <w:rFonts w:ascii="宋体" w:cs="宋体"/>
      <w:sz w:val="24"/>
    </w:rPr>
  </w:style>
  <w:style w:type="paragraph" w:customStyle="1" w:styleId="394">
    <w:name w:val="特点"/>
    <w:basedOn w:val="1"/>
    <w:next w:val="1"/>
    <w:qFormat/>
    <w:uiPriority w:val="0"/>
    <w:pPr>
      <w:spacing w:line="360" w:lineRule="auto"/>
      <w:jc w:val="center"/>
    </w:pPr>
    <w:rPr>
      <w:rFonts w:ascii="Arial" w:hAnsi="Arial"/>
      <w:sz w:val="24"/>
      <w:szCs w:val="20"/>
    </w:rPr>
  </w:style>
  <w:style w:type="paragraph" w:customStyle="1" w:styleId="395">
    <w:name w:val="pa-4"/>
    <w:basedOn w:val="1"/>
    <w:qFormat/>
    <w:uiPriority w:val="0"/>
    <w:pPr>
      <w:widowControl/>
      <w:spacing w:line="280" w:lineRule="atLeast"/>
      <w:jc w:val="center"/>
    </w:pPr>
    <w:rPr>
      <w:rFonts w:ascii="宋体" w:cs="宋体"/>
      <w:sz w:val="24"/>
    </w:rPr>
  </w:style>
  <w:style w:type="paragraph" w:customStyle="1" w:styleId="396">
    <w:name w:val="编号"/>
    <w:basedOn w:val="1"/>
    <w:next w:val="342"/>
    <w:qFormat/>
    <w:uiPriority w:val="0"/>
    <w:pPr>
      <w:widowControl/>
      <w:tabs>
        <w:tab w:val="left" w:pos="420"/>
      </w:tabs>
      <w:ind w:left="420" w:right="-136" w:hanging="420"/>
    </w:pPr>
    <w:rPr>
      <w:rFonts w:ascii="仿宋_GB2312" w:eastAsia="仿宋_GB2312"/>
      <w:b/>
      <w:bCs/>
      <w:sz w:val="24"/>
      <w:szCs w:val="21"/>
    </w:rPr>
  </w:style>
  <w:style w:type="paragraph" w:customStyle="1" w:styleId="397">
    <w:name w:val="编号3"/>
    <w:qFormat/>
    <w:uiPriority w:val="0"/>
    <w:pPr>
      <w:tabs>
        <w:tab w:val="left" w:pos="771"/>
      </w:tabs>
      <w:spacing w:before="120" w:after="120" w:line="360" w:lineRule="auto"/>
      <w:ind w:left="1021" w:hanging="250"/>
      <w:jc w:val="both"/>
    </w:pPr>
    <w:rPr>
      <w:rFonts w:ascii="Times New Roman" w:hAnsi="Times New Roman" w:eastAsia="仿宋_GB2312" w:cs="Times New Roman"/>
      <w:sz w:val="24"/>
      <w:szCs w:val="24"/>
      <w:lang w:val="en-US" w:eastAsia="zh-CN" w:bidi="ar-SA"/>
    </w:rPr>
  </w:style>
  <w:style w:type="paragraph" w:customStyle="1" w:styleId="398">
    <w:name w:val="xl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sz w:val="20"/>
      <w:szCs w:val="20"/>
    </w:rPr>
  </w:style>
  <w:style w:type="paragraph" w:customStyle="1" w:styleId="399">
    <w:name w:val="编号1"/>
    <w:next w:val="342"/>
    <w:qFormat/>
    <w:uiPriority w:val="0"/>
    <w:pPr>
      <w:tabs>
        <w:tab w:val="left" w:pos="420"/>
      </w:tabs>
      <w:spacing w:before="120" w:after="120" w:line="360" w:lineRule="auto"/>
      <w:ind w:left="720" w:hanging="360"/>
    </w:pPr>
    <w:rPr>
      <w:rFonts w:ascii="Times New Roman" w:hAnsi="Times New Roman" w:eastAsia="宋体" w:cs="Times New Roman"/>
      <w:sz w:val="24"/>
      <w:szCs w:val="24"/>
      <w:lang w:val="en-US" w:eastAsia="zh-CN" w:bidi="ar-SA"/>
    </w:rPr>
  </w:style>
  <w:style w:type="paragraph" w:customStyle="1" w:styleId="400">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01">
    <w:name w:val="CM17"/>
    <w:basedOn w:val="1"/>
    <w:next w:val="1"/>
    <w:qFormat/>
    <w:uiPriority w:val="0"/>
    <w:pPr>
      <w:spacing w:after="273" w:line="360" w:lineRule="auto"/>
      <w:jc w:val="left"/>
    </w:pPr>
    <w:rPr>
      <w:rFonts w:ascii="宋体"/>
      <w:sz w:val="24"/>
    </w:rPr>
  </w:style>
  <w:style w:type="paragraph" w:customStyle="1" w:styleId="402">
    <w:name w:val="xl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03">
    <w:name w:val="参考资料清单+倾斜+蓝色"/>
    <w:basedOn w:val="1"/>
    <w:qFormat/>
    <w:uiPriority w:val="0"/>
    <w:pPr>
      <w:spacing w:line="360" w:lineRule="auto"/>
    </w:pPr>
    <w:rPr>
      <w:rFonts w:ascii="Arial" w:hAnsi="Arial"/>
      <w:i/>
      <w:iCs/>
      <w:color w:val="0000FF"/>
      <w:szCs w:val="21"/>
    </w:rPr>
  </w:style>
  <w:style w:type="paragraph" w:customStyle="1" w:styleId="404">
    <w:name w:val="英文音标"/>
    <w:qFormat/>
    <w:uiPriority w:val="0"/>
    <w:rPr>
      <w:rFonts w:ascii="Kingsoft Phonetic Plain" w:hAnsi="Kingsoft Phonetic Plain" w:eastAsia="Kingsoft Phonetic Plain" w:cs="Times New Roman"/>
      <w:sz w:val="24"/>
      <w:szCs w:val="24"/>
      <w:lang w:val="en-US" w:eastAsia="zh-CN" w:bidi="ar-SA"/>
    </w:rPr>
  </w:style>
  <w:style w:type="paragraph" w:customStyle="1" w:styleId="405">
    <w:name w:val="pa-8"/>
    <w:basedOn w:val="1"/>
    <w:qFormat/>
    <w:uiPriority w:val="0"/>
    <w:pPr>
      <w:widowControl/>
      <w:spacing w:line="280" w:lineRule="atLeast"/>
      <w:ind w:firstLine="480"/>
    </w:pPr>
    <w:rPr>
      <w:rFonts w:ascii="宋体" w:cs="宋体"/>
      <w:sz w:val="24"/>
    </w:rPr>
  </w:style>
  <w:style w:type="paragraph" w:customStyle="1" w:styleId="406">
    <w:name w:val="标书2"/>
    <w:next w:val="342"/>
    <w:qFormat/>
    <w:uiPriority w:val="0"/>
    <w:rPr>
      <w:rFonts w:ascii="Times New Roman" w:hAnsi="Times New Roman" w:eastAsia="黑体" w:cs="宋体"/>
      <w:b/>
      <w:sz w:val="44"/>
      <w:lang w:val="en-US" w:eastAsia="zh-CN" w:bidi="ar-SA"/>
    </w:rPr>
  </w:style>
  <w:style w:type="paragraph" w:customStyle="1" w:styleId="407">
    <w:name w:val="表格文字"/>
    <w:basedOn w:val="1"/>
    <w:qFormat/>
    <w:uiPriority w:val="0"/>
    <w:pPr>
      <w:jc w:val="left"/>
    </w:pPr>
    <w:rPr>
      <w:sz w:val="18"/>
    </w:rPr>
  </w:style>
  <w:style w:type="paragraph" w:customStyle="1" w:styleId="408">
    <w:name w:val="首页空格"/>
    <w:qFormat/>
    <w:uiPriority w:val="0"/>
    <w:pPr>
      <w:jc w:val="center"/>
    </w:pPr>
    <w:rPr>
      <w:rFonts w:ascii="Times New Roman" w:hAnsi="Times New Roman" w:eastAsia="宋体" w:cs="宋体"/>
      <w:sz w:val="72"/>
      <w:lang w:val="en-US" w:eastAsia="zh-CN" w:bidi="ar-SA"/>
    </w:rPr>
  </w:style>
  <w:style w:type="paragraph" w:customStyle="1" w:styleId="409">
    <w:name w:val="保密事宜格式"/>
    <w:basedOn w:val="261"/>
    <w:qFormat/>
    <w:uiPriority w:val="0"/>
    <w:pPr>
      <w:pBdr>
        <w:top w:val="single" w:color="000000" w:sz="4" w:space="1"/>
        <w:left w:val="single" w:color="000000" w:sz="4" w:space="4"/>
        <w:bottom w:val="single" w:color="000000" w:sz="4" w:space="1"/>
        <w:right w:val="single" w:color="000000" w:sz="4" w:space="4"/>
      </w:pBdr>
      <w:shd w:val="clear" w:color="auto" w:fill="E6E6E6"/>
      <w:spacing w:before="152" w:after="160"/>
    </w:pPr>
    <w:rPr>
      <w:rFonts w:ascii="Tahoma" w:hAnsi="Tahoma" w:eastAsia="楷体_GB2312" w:cs="宋体"/>
      <w:b/>
      <w:sz w:val="32"/>
    </w:rPr>
  </w:style>
  <w:style w:type="paragraph" w:customStyle="1" w:styleId="410">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1">
    <w:name w:val="È±Ê¡ÎÄ±¾"/>
    <w:basedOn w:val="1"/>
    <w:qFormat/>
    <w:uiPriority w:val="0"/>
    <w:pPr>
      <w:widowControl/>
      <w:spacing w:line="360" w:lineRule="auto"/>
      <w:jc w:val="left"/>
    </w:pPr>
    <w:rPr>
      <w:sz w:val="24"/>
      <w:szCs w:val="20"/>
    </w:rPr>
  </w:style>
  <w:style w:type="paragraph" w:customStyle="1" w:styleId="412">
    <w:name w:val="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13">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414">
    <w:name w:val="附图居中"/>
    <w:basedOn w:val="1"/>
    <w:next w:val="385"/>
    <w:qFormat/>
    <w:uiPriority w:val="0"/>
    <w:pPr>
      <w:keepNext/>
      <w:tabs>
        <w:tab w:val="left" w:pos="0"/>
      </w:tabs>
      <w:spacing w:line="360" w:lineRule="auto"/>
      <w:ind w:left="1271" w:hanging="420"/>
      <w:jc w:val="center"/>
    </w:pPr>
    <w:rPr>
      <w:caps/>
      <w:sz w:val="24"/>
    </w:rPr>
  </w:style>
  <w:style w:type="paragraph" w:customStyle="1" w:styleId="415">
    <w:name w:val="pa-6"/>
    <w:basedOn w:val="1"/>
    <w:qFormat/>
    <w:uiPriority w:val="0"/>
    <w:pPr>
      <w:widowControl/>
      <w:spacing w:line="360" w:lineRule="atLeast"/>
    </w:pPr>
    <w:rPr>
      <w:rFonts w:ascii="宋体"/>
      <w:sz w:val="24"/>
      <w:szCs w:val="20"/>
    </w:rPr>
  </w:style>
  <w:style w:type="paragraph" w:customStyle="1" w:styleId="416">
    <w:name w:val="规范正文"/>
    <w:basedOn w:val="1"/>
    <w:qFormat/>
    <w:uiPriority w:val="0"/>
    <w:pPr>
      <w:spacing w:line="360" w:lineRule="auto"/>
      <w:ind w:left="480"/>
    </w:pPr>
    <w:rPr>
      <w:sz w:val="24"/>
      <w:szCs w:val="20"/>
    </w:rPr>
  </w:style>
  <w:style w:type="paragraph" w:customStyle="1" w:styleId="417">
    <w:name w:val="font7"/>
    <w:basedOn w:val="1"/>
    <w:qFormat/>
    <w:uiPriority w:val="0"/>
    <w:pPr>
      <w:widowControl/>
      <w:spacing w:before="100" w:beforeAutospacing="1" w:after="100" w:afterAutospacing="1"/>
      <w:jc w:val="left"/>
    </w:pPr>
    <w:rPr>
      <w:rFonts w:ascii="宋体"/>
      <w:sz w:val="20"/>
      <w:szCs w:val="20"/>
    </w:rPr>
  </w:style>
  <w:style w:type="paragraph" w:customStyle="1" w:styleId="418">
    <w:name w:val="缺省文本"/>
    <w:basedOn w:val="1"/>
    <w:qFormat/>
    <w:uiPriority w:val="0"/>
    <w:pPr>
      <w:jc w:val="left"/>
    </w:pPr>
    <w:rPr>
      <w:sz w:val="24"/>
      <w:szCs w:val="20"/>
    </w:rPr>
  </w:style>
  <w:style w:type="paragraph" w:customStyle="1" w:styleId="419">
    <w:name w:val="序号-----------"/>
    <w:basedOn w:val="1"/>
    <w:qFormat/>
    <w:uiPriority w:val="0"/>
    <w:pPr>
      <w:widowControl/>
      <w:jc w:val="left"/>
    </w:pPr>
    <w:rPr>
      <w:rFonts w:ascii="宋体"/>
      <w:bCs/>
      <w:szCs w:val="21"/>
    </w:rPr>
  </w:style>
  <w:style w:type="paragraph" w:customStyle="1" w:styleId="420">
    <w:name w:val="font8"/>
    <w:basedOn w:val="1"/>
    <w:qFormat/>
    <w:uiPriority w:val="0"/>
    <w:pPr>
      <w:widowControl/>
      <w:spacing w:before="100" w:beforeAutospacing="1" w:after="100" w:afterAutospacing="1"/>
      <w:jc w:val="left"/>
    </w:pPr>
    <w:rPr>
      <w:rFonts w:ascii="Arial" w:hAnsi="Arial" w:cs="Arial"/>
      <w:color w:val="000000"/>
      <w:sz w:val="18"/>
      <w:szCs w:val="18"/>
    </w:rPr>
  </w:style>
  <w:style w:type="paragraph" w:customStyle="1" w:styleId="421">
    <w:name w:val="表格标题"/>
    <w:basedOn w:val="1"/>
    <w:qFormat/>
    <w:uiPriority w:val="0"/>
    <w:pPr>
      <w:jc w:val="center"/>
    </w:pPr>
    <w:rPr>
      <w:b/>
    </w:rPr>
  </w:style>
  <w:style w:type="paragraph" w:customStyle="1" w:styleId="422">
    <w:name w:val="章标题"/>
    <w:next w:val="367"/>
    <w:qFormat/>
    <w:uiPriority w:val="0"/>
    <w:pPr>
      <w:tabs>
        <w:tab w:val="left" w:pos="1200"/>
      </w:tabs>
      <w:spacing w:before="50" w:after="50"/>
      <w:ind w:left="1320" w:hanging="420"/>
      <w:jc w:val="both"/>
      <w:outlineLvl w:val="1"/>
    </w:pPr>
    <w:rPr>
      <w:rFonts w:ascii="黑体" w:hAnsi="Times New Roman" w:eastAsia="黑体" w:cs="Times New Roman"/>
      <w:sz w:val="21"/>
      <w:lang w:val="en-US" w:eastAsia="zh-CN" w:bidi="ar-SA"/>
    </w:rPr>
  </w:style>
  <w:style w:type="paragraph" w:customStyle="1" w:styleId="423">
    <w:name w:val="首页单位日期"/>
    <w:basedOn w:val="1"/>
    <w:qFormat/>
    <w:uiPriority w:val="0"/>
    <w:pPr>
      <w:widowControl/>
      <w:jc w:val="center"/>
    </w:pPr>
    <w:rPr>
      <w:rFonts w:ascii="宋体" w:cs="宋体"/>
      <w:bCs/>
      <w:sz w:val="28"/>
      <w:szCs w:val="20"/>
    </w:rPr>
  </w:style>
  <w:style w:type="paragraph" w:customStyle="1" w:styleId="424">
    <w:name w:val="样式 正文缩进 + (中文) 仿宋_GB2312 小四 Char"/>
    <w:basedOn w:val="260"/>
    <w:qFormat/>
    <w:uiPriority w:val="0"/>
    <w:pPr>
      <w:spacing w:line="360" w:lineRule="auto"/>
      <w:ind w:firstLine="200"/>
    </w:pPr>
    <w:rPr>
      <w:szCs w:val="24"/>
    </w:rPr>
  </w:style>
  <w:style w:type="paragraph" w:customStyle="1" w:styleId="425">
    <w:name w:val="项目"/>
    <w:basedOn w:val="1"/>
    <w:qFormat/>
    <w:uiPriority w:val="0"/>
    <w:pPr>
      <w:tabs>
        <w:tab w:val="left" w:pos="840"/>
      </w:tabs>
      <w:spacing w:before="60" w:after="60" w:line="360" w:lineRule="auto"/>
      <w:ind w:left="840" w:hanging="420"/>
    </w:pPr>
    <w:rPr>
      <w:rFonts w:ascii="宋体"/>
      <w:szCs w:val="20"/>
    </w:rPr>
  </w:style>
  <w:style w:type="paragraph" w:customStyle="1" w:styleId="426">
    <w:name w:val="默认段落字体 Para Char"/>
    <w:basedOn w:val="1"/>
    <w:qFormat/>
    <w:uiPriority w:val="0"/>
    <w:rPr>
      <w:rFonts w:ascii="宋体"/>
      <w:b/>
      <w:sz w:val="28"/>
      <w:szCs w:val="28"/>
    </w:rPr>
  </w:style>
  <w:style w:type="paragraph" w:customStyle="1" w:styleId="427">
    <w:name w:val="篇名"/>
    <w:next w:val="73"/>
    <w:qFormat/>
    <w:uiPriority w:val="0"/>
    <w:pPr>
      <w:pageBreakBefore/>
      <w:spacing w:before="480" w:after="480"/>
      <w:jc w:val="center"/>
    </w:pPr>
    <w:rPr>
      <w:rFonts w:ascii="Times New Roman" w:hAnsi="Times New Roman" w:eastAsia="黑体" w:cs="Times New Roman"/>
      <w:b/>
      <w:sz w:val="44"/>
      <w:szCs w:val="24"/>
      <w:lang w:val="en-US" w:eastAsia="zh-CN" w:bidi="ar-SA"/>
    </w:rPr>
  </w:style>
  <w:style w:type="paragraph" w:customStyle="1" w:styleId="428">
    <w:name w:val="Char13"/>
    <w:basedOn w:val="1"/>
    <w:qFormat/>
    <w:uiPriority w:val="0"/>
  </w:style>
  <w:style w:type="paragraph" w:customStyle="1" w:styleId="429">
    <w:name w:val="表头"/>
    <w:basedOn w:val="380"/>
    <w:qFormat/>
    <w:uiPriority w:val="0"/>
    <w:pPr>
      <w:spacing w:line="240" w:lineRule="auto"/>
      <w:ind w:left="0" w:firstLine="0"/>
    </w:pPr>
    <w:rPr>
      <w:sz w:val="20"/>
    </w:rPr>
  </w:style>
  <w:style w:type="paragraph" w:customStyle="1" w:styleId="430">
    <w:name w:val="表格序号"/>
    <w:qFormat/>
    <w:uiPriority w:val="0"/>
    <w:rPr>
      <w:rFonts w:ascii="Times New Roman" w:hAnsi="Times New Roman" w:eastAsia="仿宋_GB2312" w:cs="宋体"/>
      <w:sz w:val="21"/>
      <w:lang w:val="en-US" w:eastAsia="zh-CN" w:bidi="ar-SA"/>
    </w:rPr>
  </w:style>
  <w:style w:type="paragraph" w:customStyle="1" w:styleId="431">
    <w:name w:val="Char Char Char Char1"/>
    <w:basedOn w:val="1"/>
    <w:qFormat/>
    <w:uiPriority w:val="0"/>
    <w:pPr>
      <w:spacing w:line="360" w:lineRule="auto"/>
      <w:ind w:firstLine="200"/>
    </w:pPr>
    <w:rPr>
      <w:sz w:val="24"/>
      <w:szCs w:val="20"/>
    </w:rPr>
  </w:style>
  <w:style w:type="paragraph" w:customStyle="1" w:styleId="432">
    <w:name w:val="标书3"/>
    <w:next w:val="342"/>
    <w:qFormat/>
    <w:uiPriority w:val="0"/>
    <w:pPr>
      <w:widowControl w:val="0"/>
      <w:jc w:val="center"/>
    </w:pPr>
    <w:rPr>
      <w:rFonts w:ascii="Times New Roman" w:hAnsi="Times New Roman" w:eastAsia="黑体" w:cs="Times New Roman"/>
      <w:b/>
      <w:sz w:val="44"/>
      <w:szCs w:val="24"/>
      <w:lang w:val="en-US" w:eastAsia="zh-CN" w:bidi="ar-SA"/>
    </w:rPr>
  </w:style>
  <w:style w:type="paragraph" w:customStyle="1" w:styleId="433">
    <w:name w:val="首页小标题"/>
    <w:next w:val="408"/>
    <w:qFormat/>
    <w:uiPriority w:val="0"/>
    <w:pPr>
      <w:jc w:val="center"/>
    </w:pPr>
    <w:rPr>
      <w:rFonts w:ascii="Times New Roman" w:hAnsi="Times New Roman" w:eastAsia="宋体" w:cs="宋体"/>
      <w:sz w:val="44"/>
      <w:lang w:val="en-US" w:eastAsia="zh-CN" w:bidi="ar-SA"/>
    </w:rPr>
  </w:style>
  <w:style w:type="paragraph" w:customStyle="1" w:styleId="434">
    <w:name w:val="新段落缩进"/>
    <w:basedOn w:val="1"/>
    <w:qFormat/>
    <w:uiPriority w:val="0"/>
    <w:pPr>
      <w:spacing w:line="400" w:lineRule="exact"/>
      <w:ind w:firstLine="200"/>
    </w:pPr>
    <w:rPr>
      <w:rFonts w:ascii="仿宋_GB2312" w:eastAsia="仿宋_GB2312"/>
      <w:sz w:val="24"/>
    </w:rPr>
  </w:style>
  <w:style w:type="paragraph" w:customStyle="1" w:styleId="435">
    <w:name w:val="pa-2"/>
    <w:basedOn w:val="1"/>
    <w:qFormat/>
    <w:uiPriority w:val="0"/>
    <w:pPr>
      <w:widowControl/>
      <w:spacing w:line="360" w:lineRule="atLeast"/>
    </w:pPr>
    <w:rPr>
      <w:rFonts w:ascii="宋体" w:cs="宋体"/>
      <w:sz w:val="24"/>
    </w:rPr>
  </w:style>
  <w:style w:type="paragraph" w:customStyle="1" w:styleId="436">
    <w:name w:val="四级条标题"/>
    <w:basedOn w:val="374"/>
    <w:next w:val="367"/>
    <w:qFormat/>
    <w:uiPriority w:val="0"/>
    <w:pPr>
      <w:ind w:left="0"/>
      <w:outlineLvl w:val="5"/>
    </w:pPr>
  </w:style>
  <w:style w:type="paragraph" w:customStyle="1" w:styleId="437">
    <w:name w:val="保密事宜内容"/>
    <w:basedOn w:val="1"/>
    <w:qFormat/>
    <w:uiPriority w:val="0"/>
    <w:pPr>
      <w:pBdr>
        <w:top w:val="single" w:color="000000" w:sz="4" w:space="1"/>
        <w:left w:val="single" w:color="000000" w:sz="4" w:space="4"/>
        <w:bottom w:val="single" w:color="000000" w:sz="4" w:space="1"/>
        <w:right w:val="single" w:color="000000" w:sz="4" w:space="4"/>
      </w:pBdr>
      <w:spacing w:line="360" w:lineRule="auto"/>
      <w:ind w:firstLine="200"/>
    </w:pPr>
    <w:rPr>
      <w:rFonts w:ascii="Tahoma" w:hAnsi="Tahoma" w:eastAsia="楷体_GB2312" w:cs="宋体"/>
      <w:bCs/>
      <w:sz w:val="24"/>
      <w:szCs w:val="20"/>
    </w:rPr>
  </w:style>
  <w:style w:type="paragraph" w:customStyle="1" w:styleId="438">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39">
    <w:name w:val="Char1 Char Char Char"/>
    <w:basedOn w:val="1"/>
    <w:qFormat/>
    <w:uiPriority w:val="0"/>
    <w:rPr>
      <w:szCs w:val="20"/>
    </w:rPr>
  </w:style>
  <w:style w:type="paragraph" w:customStyle="1" w:styleId="440">
    <w:name w:val="正文 + 宋体"/>
    <w:basedOn w:val="1"/>
    <w:qFormat/>
    <w:uiPriority w:val="0"/>
    <w:pPr>
      <w:ind w:firstLine="250"/>
    </w:pPr>
    <w:rPr>
      <w:rFonts w:ascii="宋体"/>
      <w:szCs w:val="21"/>
    </w:rPr>
  </w:style>
  <w:style w:type="paragraph" w:customStyle="1" w:styleId="441">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sz w:val="18"/>
      <w:szCs w:val="18"/>
    </w:rPr>
  </w:style>
  <w:style w:type="paragraph" w:customStyle="1" w:styleId="442">
    <w:name w:val="pbody"/>
    <w:basedOn w:val="1"/>
    <w:qFormat/>
    <w:uiPriority w:val="0"/>
    <w:pPr>
      <w:widowControl/>
      <w:spacing w:before="100" w:beforeAutospacing="1" w:after="100" w:afterAutospacing="1" w:line="360" w:lineRule="auto"/>
      <w:jc w:val="left"/>
    </w:pPr>
    <w:rPr>
      <w:rFonts w:ascii="宋体" w:cs="宋体"/>
      <w:sz w:val="24"/>
    </w:rPr>
  </w:style>
  <w:style w:type="paragraph" w:customStyle="1" w:styleId="443">
    <w:name w:val="xl4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44">
    <w:name w:val="txt"/>
    <w:basedOn w:val="1"/>
    <w:qFormat/>
    <w:uiPriority w:val="0"/>
    <w:pPr>
      <w:widowControl/>
      <w:spacing w:before="100" w:beforeAutospacing="1" w:after="100" w:afterAutospacing="1"/>
      <w:jc w:val="left"/>
    </w:pPr>
    <w:rPr>
      <w:rFonts w:ascii="宋体" w:cs="宋体"/>
      <w:sz w:val="24"/>
    </w:rPr>
  </w:style>
  <w:style w:type="paragraph" w:customStyle="1" w:styleId="445">
    <w:name w:val="样式1"/>
    <w:basedOn w:val="259"/>
    <w:next w:val="1"/>
    <w:qFormat/>
    <w:uiPriority w:val="0"/>
    <w:rPr>
      <w:rFonts w:ascii="Arial" w:hAnsi="Arial" w:eastAsia="幼圆" w:cs="Arial"/>
      <w:sz w:val="24"/>
      <w:szCs w:val="20"/>
    </w:rPr>
  </w:style>
  <w:style w:type="paragraph" w:customStyle="1" w:styleId="446">
    <w:name w:val="xl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447">
    <w:name w:val="列表段落11"/>
    <w:basedOn w:val="1"/>
    <w:qFormat/>
    <w:uiPriority w:val="0"/>
    <w:pPr>
      <w:ind w:firstLine="420"/>
    </w:pPr>
  </w:style>
  <w:style w:type="paragraph" w:customStyle="1" w:styleId="448">
    <w:name w:val="图表目录1"/>
    <w:qFormat/>
    <w:uiPriority w:val="0"/>
    <w:pPr>
      <w:ind w:left="840" w:hanging="420"/>
    </w:pPr>
    <w:rPr>
      <w:rFonts w:ascii="Times New Roman" w:hAnsi="Times New Roman" w:eastAsia="宋体" w:cs="宋体"/>
      <w:sz w:val="21"/>
      <w:lang w:val="en-US" w:eastAsia="zh-CN" w:bidi="ar-SA"/>
    </w:rPr>
  </w:style>
  <w:style w:type="paragraph" w:customStyle="1" w:styleId="449">
    <w:name w:val="样式 序号----------- + 仿宋_GB2312"/>
    <w:basedOn w:val="419"/>
    <w:qFormat/>
    <w:uiPriority w:val="0"/>
    <w:pPr>
      <w:spacing w:line="360" w:lineRule="auto"/>
      <w:ind w:firstLine="200"/>
    </w:pPr>
    <w:rPr>
      <w:rFonts w:ascii="仿宋_GB2312" w:eastAsia="仿宋_GB2312"/>
      <w:bCs w:val="0"/>
    </w:rPr>
  </w:style>
  <w:style w:type="paragraph" w:customStyle="1" w:styleId="450">
    <w:name w:val="xl41"/>
    <w:basedOn w:val="1"/>
    <w:qFormat/>
    <w:uiPriority w:val="0"/>
    <w:pPr>
      <w:widowControl/>
      <w:pBdr>
        <w:bottom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51">
    <w:name w:val="Char11"/>
    <w:basedOn w:val="1"/>
    <w:qFormat/>
    <w:uiPriority w:val="0"/>
    <w:rPr>
      <w:szCs w:val="21"/>
    </w:rPr>
  </w:style>
  <w:style w:type="paragraph" w:customStyle="1" w:styleId="452">
    <w:name w:val="样式 序号----------- + 仿宋_GB23121"/>
    <w:basedOn w:val="419"/>
    <w:qFormat/>
    <w:uiPriority w:val="0"/>
    <w:pPr>
      <w:spacing w:line="360" w:lineRule="auto"/>
    </w:pPr>
    <w:rPr>
      <w:rFonts w:ascii="仿宋_GB2312" w:eastAsia="仿宋_GB2312"/>
      <w:bCs w:val="0"/>
    </w:rPr>
  </w:style>
  <w:style w:type="paragraph" w:customStyle="1" w:styleId="453">
    <w:name w:val="pa-9"/>
    <w:basedOn w:val="1"/>
    <w:qFormat/>
    <w:uiPriority w:val="0"/>
    <w:pPr>
      <w:widowControl/>
      <w:spacing w:line="360" w:lineRule="atLeast"/>
      <w:jc w:val="center"/>
    </w:pPr>
    <w:rPr>
      <w:rFonts w:ascii="宋体" w:cs="宋体"/>
      <w:sz w:val="24"/>
    </w:rPr>
  </w:style>
  <w:style w:type="paragraph" w:customStyle="1" w:styleId="454">
    <w:name w:val="pa-3"/>
    <w:basedOn w:val="1"/>
    <w:qFormat/>
    <w:uiPriority w:val="0"/>
    <w:pPr>
      <w:widowControl/>
      <w:spacing w:before="150" w:after="150"/>
      <w:jc w:val="left"/>
    </w:pPr>
    <w:rPr>
      <w:rFonts w:ascii="宋体" w:cs="宋体"/>
      <w:sz w:val="24"/>
    </w:rPr>
  </w:style>
  <w:style w:type="paragraph" w:customStyle="1" w:styleId="455">
    <w:name w:val="font5"/>
    <w:basedOn w:val="1"/>
    <w:qFormat/>
    <w:uiPriority w:val="0"/>
    <w:pPr>
      <w:widowControl/>
      <w:spacing w:before="100" w:beforeAutospacing="1" w:after="100" w:afterAutospacing="1"/>
      <w:jc w:val="left"/>
    </w:pPr>
    <w:rPr>
      <w:rFonts w:ascii="宋体"/>
      <w:sz w:val="18"/>
      <w:szCs w:val="18"/>
    </w:rPr>
  </w:style>
  <w:style w:type="paragraph" w:customStyle="1" w:styleId="456">
    <w:name w:val="pa-5"/>
    <w:basedOn w:val="1"/>
    <w:qFormat/>
    <w:uiPriority w:val="0"/>
    <w:pPr>
      <w:widowControl/>
      <w:spacing w:line="280" w:lineRule="atLeast"/>
    </w:pPr>
    <w:rPr>
      <w:rFonts w:ascii="宋体" w:cs="宋体"/>
      <w:sz w:val="24"/>
    </w:rPr>
  </w:style>
  <w:style w:type="paragraph" w:customStyle="1" w:styleId="457">
    <w:name w:val="xl39"/>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58">
    <w:name w:val="font6"/>
    <w:basedOn w:val="1"/>
    <w:qFormat/>
    <w:uiPriority w:val="0"/>
    <w:pPr>
      <w:widowControl/>
      <w:spacing w:before="100" w:beforeAutospacing="1" w:after="100" w:afterAutospacing="1"/>
      <w:jc w:val="left"/>
    </w:pPr>
    <w:rPr>
      <w:sz w:val="20"/>
      <w:szCs w:val="20"/>
    </w:rPr>
  </w:style>
  <w:style w:type="paragraph" w:customStyle="1" w:styleId="459">
    <w:name w:val="font9"/>
    <w:basedOn w:val="1"/>
    <w:qFormat/>
    <w:uiPriority w:val="0"/>
    <w:pPr>
      <w:widowControl/>
      <w:spacing w:before="100" w:beforeAutospacing="1" w:after="100" w:afterAutospacing="1"/>
      <w:jc w:val="left"/>
    </w:pPr>
    <w:rPr>
      <w:rFonts w:ascii="宋体"/>
      <w:color w:val="000000"/>
      <w:sz w:val="18"/>
      <w:szCs w:val="18"/>
    </w:rPr>
  </w:style>
  <w:style w:type="paragraph" w:customStyle="1" w:styleId="460">
    <w:name w:val="列出段落1"/>
    <w:basedOn w:val="1"/>
    <w:link w:val="688"/>
    <w:qFormat/>
    <w:uiPriority w:val="0"/>
    <w:pPr>
      <w:ind w:firstLine="200"/>
    </w:pPr>
  </w:style>
  <w:style w:type="paragraph" w:customStyle="1" w:styleId="461">
    <w:name w:val="p0"/>
    <w:basedOn w:val="1"/>
    <w:qFormat/>
    <w:uiPriority w:val="0"/>
    <w:pPr>
      <w:widowControl/>
    </w:pPr>
    <w:rPr>
      <w:szCs w:val="21"/>
    </w:rPr>
  </w:style>
  <w:style w:type="paragraph" w:customStyle="1" w:styleId="462">
    <w:name w:val="Char Char Char Char Char Char Char Char Char Char21"/>
    <w:basedOn w:val="1"/>
    <w:qFormat/>
    <w:uiPriority w:val="0"/>
    <w:rPr>
      <w:rFonts w:ascii="Tahoma" w:hAnsi="Tahoma"/>
      <w:sz w:val="24"/>
      <w:szCs w:val="20"/>
    </w:rPr>
  </w:style>
  <w:style w:type="paragraph" w:customStyle="1" w:styleId="463">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64">
    <w:name w:val="表格正文"/>
    <w:basedOn w:val="1"/>
    <w:qFormat/>
    <w:uiPriority w:val="0"/>
    <w:pPr>
      <w:tabs>
        <w:tab w:val="left" w:pos="420"/>
      </w:tabs>
      <w:spacing w:line="300" w:lineRule="auto"/>
    </w:pPr>
  </w:style>
  <w:style w:type="paragraph" w:customStyle="1" w:styleId="465">
    <w:name w:val="首页标题小初"/>
    <w:qFormat/>
    <w:uiPriority w:val="0"/>
    <w:pPr>
      <w:jc w:val="center"/>
    </w:pPr>
    <w:rPr>
      <w:rFonts w:ascii="黑体" w:hAnsi="Times New Roman" w:eastAsia="黑体" w:cs="宋体"/>
      <w:sz w:val="72"/>
      <w:lang w:val="en-US" w:eastAsia="zh-CN" w:bidi="ar-SA"/>
    </w:rPr>
  </w:style>
  <w:style w:type="paragraph" w:customStyle="1" w:styleId="466">
    <w:name w:val="五级条标题"/>
    <w:basedOn w:val="436"/>
    <w:next w:val="367"/>
    <w:qFormat/>
    <w:uiPriority w:val="0"/>
    <w:pPr>
      <w:outlineLvl w:val="6"/>
    </w:pPr>
  </w:style>
  <w:style w:type="paragraph" w:customStyle="1" w:styleId="467">
    <w:name w:val="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468">
    <w:name w:val="ibm-list-next"/>
    <w:basedOn w:val="1"/>
    <w:qFormat/>
    <w:uiPriority w:val="0"/>
    <w:pPr>
      <w:widowControl/>
      <w:spacing w:before="100" w:beforeAutospacing="1" w:after="100" w:afterAutospacing="1"/>
      <w:jc w:val="left"/>
    </w:pPr>
    <w:rPr>
      <w:rFonts w:ascii="宋体" w:cs="宋体"/>
      <w:sz w:val="24"/>
    </w:rPr>
  </w:style>
  <w:style w:type="paragraph" w:customStyle="1" w:styleId="469">
    <w:name w:val="首页标题 一号"/>
    <w:basedOn w:val="465"/>
    <w:qFormat/>
    <w:uiPriority w:val="0"/>
    <w:rPr>
      <w:sz w:val="52"/>
    </w:rPr>
  </w:style>
  <w:style w:type="paragraph" w:customStyle="1" w:styleId="470">
    <w:name w:val="Char Char Char Char Char Char Char Char Char Char2"/>
    <w:basedOn w:val="1"/>
    <w:qFormat/>
    <w:uiPriority w:val="0"/>
    <w:rPr>
      <w:rFonts w:ascii="Tahoma" w:hAnsi="Tahoma"/>
      <w:sz w:val="24"/>
      <w:szCs w:val="20"/>
    </w:rPr>
  </w:style>
  <w:style w:type="paragraph" w:customStyle="1" w:styleId="471">
    <w:name w:val="正文（编号）"/>
    <w:basedOn w:val="329"/>
    <w:link w:val="472"/>
    <w:qFormat/>
    <w:uiPriority w:val="0"/>
    <w:pPr>
      <w:tabs>
        <w:tab w:val="left" w:pos="720"/>
        <w:tab w:val="left" w:pos="780"/>
      </w:tabs>
      <w:ind w:left="720" w:firstLine="0"/>
    </w:pPr>
    <w:rPr>
      <w:rFonts w:ascii="Times New Roman" w:hAnsi="Times New Roman"/>
      <w:szCs w:val="24"/>
    </w:rPr>
  </w:style>
  <w:style w:type="character" w:customStyle="1" w:styleId="472">
    <w:name w:val="正文（编号） Char Char"/>
    <w:link w:val="471"/>
    <w:qFormat/>
    <w:uiPriority w:val="0"/>
    <w:rPr>
      <w:sz w:val="24"/>
      <w:szCs w:val="24"/>
    </w:rPr>
  </w:style>
  <w:style w:type="paragraph" w:customStyle="1" w:styleId="473">
    <w:name w:val="表格"/>
    <w:basedOn w:val="1"/>
    <w:qFormat/>
    <w:uiPriority w:val="0"/>
    <w:pPr>
      <w:ind w:firstLine="21"/>
    </w:pPr>
    <w:rPr>
      <w:rFonts w:ascii="宋体"/>
      <w:szCs w:val="20"/>
    </w:rPr>
  </w:style>
  <w:style w:type="character" w:customStyle="1" w:styleId="474">
    <w:name w:val="正文（缩进） Char Char"/>
    <w:qFormat/>
    <w:uiPriority w:val="0"/>
    <w:rPr>
      <w:rFonts w:eastAsia="宋体"/>
      <w:sz w:val="24"/>
      <w:szCs w:val="24"/>
      <w:lang w:val="en-US" w:eastAsia="zh-CN" w:bidi="ar-SA"/>
    </w:rPr>
  </w:style>
  <w:style w:type="paragraph" w:customStyle="1" w:styleId="475">
    <w:name w:val="Char Char Char1"/>
    <w:basedOn w:val="1"/>
    <w:qFormat/>
    <w:uiPriority w:val="0"/>
    <w:rPr>
      <w:szCs w:val="21"/>
    </w:rPr>
  </w:style>
  <w:style w:type="paragraph" w:customStyle="1" w:styleId="476">
    <w:name w:val="样式 正文2 + 首行缩进:  0 厘米 段后: 1.5 行"/>
    <w:basedOn w:val="1"/>
    <w:qFormat/>
    <w:uiPriority w:val="0"/>
    <w:pPr>
      <w:widowControl/>
      <w:tabs>
        <w:tab w:val="left" w:pos="987"/>
      </w:tabs>
      <w:spacing w:line="360" w:lineRule="auto"/>
      <w:ind w:left="985" w:hanging="567"/>
      <w:jc w:val="left"/>
    </w:pPr>
    <w:rPr>
      <w:rFonts w:eastAsia="楷体_GB2312"/>
      <w:sz w:val="24"/>
      <w:szCs w:val="20"/>
      <w:lang w:eastAsia="en-US"/>
    </w:rPr>
  </w:style>
  <w:style w:type="paragraph" w:customStyle="1" w:styleId="477">
    <w:name w:val="表中文字"/>
    <w:basedOn w:val="1"/>
    <w:qFormat/>
    <w:uiPriority w:val="0"/>
    <w:pPr>
      <w:widowControl/>
    </w:pPr>
    <w:rPr>
      <w:szCs w:val="20"/>
    </w:rPr>
  </w:style>
  <w:style w:type="character" w:customStyle="1" w:styleId="478">
    <w:name w:val="z1"/>
    <w:qFormat/>
    <w:uiPriority w:val="0"/>
  </w:style>
  <w:style w:type="paragraph" w:customStyle="1" w:styleId="479">
    <w:name w:val="a1"/>
    <w:basedOn w:val="1"/>
    <w:qFormat/>
    <w:uiPriority w:val="0"/>
    <w:pPr>
      <w:widowControl/>
      <w:spacing w:before="100" w:beforeAutospacing="1" w:after="100" w:afterAutospacing="1"/>
      <w:jc w:val="left"/>
    </w:pPr>
    <w:rPr>
      <w:rFonts w:ascii="宋体"/>
      <w:sz w:val="24"/>
    </w:rPr>
  </w:style>
  <w:style w:type="paragraph" w:customStyle="1" w:styleId="480">
    <w:name w:val="a0"/>
    <w:basedOn w:val="1"/>
    <w:qFormat/>
    <w:uiPriority w:val="0"/>
    <w:pPr>
      <w:widowControl/>
      <w:spacing w:before="100" w:beforeAutospacing="1" w:after="100" w:afterAutospacing="1"/>
      <w:jc w:val="left"/>
    </w:pPr>
    <w:rPr>
      <w:rFonts w:ascii="宋体"/>
      <w:sz w:val="24"/>
    </w:rPr>
  </w:style>
  <w:style w:type="paragraph" w:customStyle="1" w:styleId="481">
    <w:name w:val="tabletext"/>
    <w:basedOn w:val="1"/>
    <w:qFormat/>
    <w:uiPriority w:val="0"/>
    <w:pPr>
      <w:widowControl/>
      <w:spacing w:before="100" w:beforeAutospacing="1" w:after="100" w:afterAutospacing="1"/>
      <w:jc w:val="left"/>
    </w:pPr>
    <w:rPr>
      <w:rFonts w:ascii="宋体"/>
      <w:sz w:val="24"/>
    </w:rPr>
  </w:style>
  <w:style w:type="paragraph" w:customStyle="1" w:styleId="482">
    <w:name w:val="我的样式"/>
    <w:basedOn w:val="1"/>
    <w:qFormat/>
    <w:uiPriority w:val="0"/>
    <w:pPr>
      <w:widowControl/>
      <w:spacing w:after="120"/>
      <w:ind w:firstLine="420"/>
      <w:jc w:val="left"/>
    </w:pPr>
    <w:rPr>
      <w:rFonts w:ascii="宋体"/>
      <w:color w:val="000000"/>
      <w:sz w:val="24"/>
      <w:szCs w:val="16"/>
    </w:rPr>
  </w:style>
  <w:style w:type="paragraph" w:customStyle="1" w:styleId="483">
    <w:name w:val="Figure and Table Title"/>
    <w:basedOn w:val="1"/>
    <w:qFormat/>
    <w:uiPriority w:val="0"/>
    <w:pPr>
      <w:widowControl/>
      <w:ind w:left="2160"/>
      <w:jc w:val="left"/>
    </w:pPr>
    <w:rPr>
      <w:rFonts w:ascii="Helvetica-Light" w:hAnsi="Helvetica-Light"/>
      <w:b/>
      <w:bCs/>
      <w:sz w:val="20"/>
      <w:lang w:eastAsia="en-US"/>
    </w:rPr>
  </w:style>
  <w:style w:type="paragraph" w:customStyle="1" w:styleId="484">
    <w:name w:val="Table Text/Title"/>
    <w:basedOn w:val="1"/>
    <w:qFormat/>
    <w:uiPriority w:val="0"/>
    <w:pPr>
      <w:widowControl/>
      <w:jc w:val="left"/>
    </w:pPr>
    <w:rPr>
      <w:rFonts w:ascii="宋体"/>
      <w:b/>
      <w:bCs/>
      <w:sz w:val="20"/>
      <w:szCs w:val="20"/>
      <w:lang w:eastAsia="en-US"/>
    </w:rPr>
  </w:style>
  <w:style w:type="paragraph" w:customStyle="1" w:styleId="485">
    <w:name w:val="Sourcetext bullet"/>
    <w:basedOn w:val="1"/>
    <w:qFormat/>
    <w:uiPriority w:val="0"/>
    <w:pPr>
      <w:widowControl/>
      <w:tabs>
        <w:tab w:val="left" w:pos="360"/>
      </w:tabs>
      <w:spacing w:after="120"/>
      <w:ind w:left="2160" w:hanging="360"/>
      <w:jc w:val="left"/>
    </w:pPr>
    <w:rPr>
      <w:rFonts w:ascii="Book Antiqua" w:hAnsi="Book Antiqua"/>
      <w:sz w:val="20"/>
      <w:szCs w:val="20"/>
      <w:lang w:eastAsia="en-US"/>
    </w:rPr>
  </w:style>
  <w:style w:type="paragraph" w:customStyle="1" w:styleId="486">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sz w:val="20"/>
      <w:szCs w:val="20"/>
      <w:lang w:eastAsia="en-US"/>
    </w:rPr>
  </w:style>
  <w:style w:type="paragraph" w:customStyle="1" w:styleId="487">
    <w:name w:val="Char Char Char Char"/>
    <w:basedOn w:val="1"/>
    <w:qFormat/>
    <w:uiPriority w:val="0"/>
    <w:pPr>
      <w:widowControl/>
      <w:spacing w:after="120" w:line="360" w:lineRule="auto"/>
      <w:ind w:left="560" w:firstLine="200"/>
      <w:jc w:val="left"/>
    </w:pPr>
    <w:rPr>
      <w:rFonts w:ascii="Verdana" w:hAnsi="Verdana"/>
      <w:sz w:val="24"/>
    </w:rPr>
  </w:style>
  <w:style w:type="character" w:customStyle="1" w:styleId="488">
    <w:name w:val="style91"/>
    <w:qFormat/>
    <w:uiPriority w:val="0"/>
    <w:rPr>
      <w:color w:val="2060C0"/>
      <w:sz w:val="24"/>
      <w:szCs w:val="24"/>
    </w:rPr>
  </w:style>
  <w:style w:type="paragraph" w:customStyle="1" w:styleId="489">
    <w:name w:val="标准小四"/>
    <w:basedOn w:val="1"/>
    <w:qFormat/>
    <w:uiPriority w:val="0"/>
    <w:pPr>
      <w:spacing w:line="360" w:lineRule="auto"/>
      <w:ind w:firstLine="200"/>
    </w:pPr>
    <w:rPr>
      <w:rFonts w:ascii="Arial" w:hAnsi="Arial"/>
      <w:sz w:val="24"/>
      <w:szCs w:val="21"/>
    </w:rPr>
  </w:style>
  <w:style w:type="paragraph" w:customStyle="1" w:styleId="490">
    <w:name w:val="样式 正文首行缩进 + 宋体 首行缩进:  0.74 厘米"/>
    <w:basedOn w:val="301"/>
    <w:qFormat/>
    <w:uiPriority w:val="0"/>
    <w:pPr>
      <w:spacing w:before="120" w:after="0" w:line="380" w:lineRule="exact"/>
      <w:ind w:firstLine="210"/>
    </w:pPr>
    <w:rPr>
      <w:rFonts w:ascii="宋体" w:cs="宋体"/>
      <w:sz w:val="24"/>
      <w:szCs w:val="20"/>
    </w:rPr>
  </w:style>
  <w:style w:type="paragraph" w:customStyle="1" w:styleId="491">
    <w:name w:val="默认段落字体 Para Char Char Char Char Char Char Char Char Char1"/>
    <w:basedOn w:val="1"/>
    <w:qFormat/>
    <w:uiPriority w:val="0"/>
    <w:rPr>
      <w:rFonts w:ascii="Tahoma" w:hAnsi="Tahoma"/>
      <w:sz w:val="24"/>
      <w:szCs w:val="20"/>
    </w:rPr>
  </w:style>
  <w:style w:type="paragraph" w:customStyle="1" w:styleId="492">
    <w:name w:val="正文小四"/>
    <w:basedOn w:val="1"/>
    <w:qFormat/>
    <w:uiPriority w:val="0"/>
    <w:pPr>
      <w:spacing w:line="312" w:lineRule="auto"/>
    </w:pPr>
    <w:rPr>
      <w:sz w:val="24"/>
    </w:rPr>
  </w:style>
  <w:style w:type="paragraph" w:customStyle="1" w:styleId="493">
    <w:name w:val="ul"/>
    <w:basedOn w:val="1"/>
    <w:qFormat/>
    <w:uiPriority w:val="0"/>
    <w:pPr>
      <w:widowControl/>
      <w:numPr>
        <w:ilvl w:val="0"/>
        <w:numId w:val="1"/>
      </w:numPr>
      <w:tabs>
        <w:tab w:val="left" w:pos="842"/>
      </w:tabs>
      <w:spacing w:line="360" w:lineRule="auto"/>
      <w:ind w:left="567" w:hanging="85"/>
      <w:jc w:val="left"/>
    </w:pPr>
    <w:rPr>
      <w:sz w:val="24"/>
    </w:rPr>
  </w:style>
  <w:style w:type="paragraph" w:customStyle="1" w:styleId="494">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sz w:val="24"/>
      <w:szCs w:val="20"/>
    </w:rPr>
  </w:style>
  <w:style w:type="paragraph" w:customStyle="1" w:styleId="495">
    <w:name w:val="正文（首行缩进）"/>
    <w:basedOn w:val="1"/>
    <w:qFormat/>
    <w:uiPriority w:val="0"/>
    <w:pPr>
      <w:widowControl/>
      <w:spacing w:before="120" w:line="360" w:lineRule="auto"/>
      <w:ind w:firstLine="482"/>
    </w:pPr>
    <w:rPr>
      <w:sz w:val="24"/>
      <w:szCs w:val="20"/>
    </w:rPr>
  </w:style>
  <w:style w:type="character" w:customStyle="1" w:styleId="496">
    <w:name w:val="style161"/>
    <w:qFormat/>
    <w:uiPriority w:val="0"/>
    <w:rPr>
      <w:rFonts w:ascii="Verdana" w:hAnsi="Verdana" w:eastAsia="宋体"/>
      <w:b/>
      <w:color w:val="0A246A"/>
      <w:sz w:val="24"/>
      <w:szCs w:val="24"/>
      <w:lang w:val="en-US" w:eastAsia="zh-CN" w:bidi="ar-SA"/>
    </w:rPr>
  </w:style>
  <w:style w:type="paragraph" w:customStyle="1" w:styleId="497">
    <w:name w:val="正文（首行缩进两字）"/>
    <w:basedOn w:val="1"/>
    <w:qFormat/>
    <w:uiPriority w:val="0"/>
    <w:pPr>
      <w:spacing w:line="312" w:lineRule="auto"/>
    </w:pPr>
    <w:rPr>
      <w:rFonts w:ascii="宋体" w:cs="宋体"/>
      <w:sz w:val="24"/>
    </w:rPr>
  </w:style>
  <w:style w:type="paragraph" w:customStyle="1" w:styleId="498">
    <w:name w:val="正文文字缩进 3"/>
    <w:basedOn w:val="1"/>
    <w:qFormat/>
    <w:uiPriority w:val="0"/>
    <w:pPr>
      <w:spacing w:line="312" w:lineRule="auto"/>
      <w:ind w:left="420" w:firstLine="420"/>
    </w:pPr>
    <w:rPr>
      <w:rFonts w:ascii="黑体" w:hAnsi="黑体" w:cs="宋体"/>
      <w:bCs/>
      <w:color w:val="000000"/>
      <w:sz w:val="24"/>
    </w:rPr>
  </w:style>
  <w:style w:type="paragraph" w:customStyle="1" w:styleId="499">
    <w:name w:val="技术方案3"/>
    <w:basedOn w:val="1"/>
    <w:qFormat/>
    <w:uiPriority w:val="0"/>
    <w:pPr>
      <w:spacing w:line="360" w:lineRule="auto"/>
    </w:pPr>
    <w:rPr>
      <w:rFonts w:ascii="宋体"/>
      <w:b/>
      <w:bCs/>
      <w:sz w:val="32"/>
    </w:rPr>
  </w:style>
  <w:style w:type="paragraph" w:customStyle="1" w:styleId="500">
    <w:name w:val="技术方案2"/>
    <w:basedOn w:val="1"/>
    <w:qFormat/>
    <w:uiPriority w:val="0"/>
    <w:pPr>
      <w:spacing w:line="480" w:lineRule="auto"/>
    </w:pPr>
    <w:rPr>
      <w:rFonts w:ascii="宋体"/>
      <w:b/>
      <w:bCs/>
      <w:sz w:val="36"/>
    </w:rPr>
  </w:style>
  <w:style w:type="paragraph" w:customStyle="1" w:styleId="501">
    <w:name w:val="技术方案正文"/>
    <w:basedOn w:val="1"/>
    <w:qFormat/>
    <w:uiPriority w:val="0"/>
    <w:pPr>
      <w:spacing w:line="360" w:lineRule="auto"/>
      <w:ind w:firstLine="480"/>
    </w:pPr>
    <w:rPr>
      <w:rFonts w:ascii="宋体"/>
      <w:sz w:val="24"/>
    </w:rPr>
  </w:style>
  <w:style w:type="paragraph" w:customStyle="1" w:styleId="502">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503">
    <w:name w:val="Normal Paragraph"/>
    <w:basedOn w:val="1"/>
    <w:qFormat/>
    <w:uiPriority w:val="0"/>
    <w:pPr>
      <w:widowControl/>
      <w:spacing w:before="120" w:line="360" w:lineRule="auto"/>
      <w:ind w:firstLine="425"/>
    </w:pPr>
    <w:rPr>
      <w:sz w:val="24"/>
      <w:szCs w:val="20"/>
    </w:rPr>
  </w:style>
  <w:style w:type="paragraph" w:customStyle="1" w:styleId="504">
    <w:name w:val="Normal Paragraph Char"/>
    <w:basedOn w:val="1"/>
    <w:qFormat/>
    <w:uiPriority w:val="0"/>
    <w:pPr>
      <w:widowControl/>
      <w:spacing w:before="120" w:line="360" w:lineRule="auto"/>
      <w:ind w:firstLine="425"/>
    </w:pPr>
    <w:rPr>
      <w:sz w:val="24"/>
    </w:rPr>
  </w:style>
  <w:style w:type="paragraph" w:customStyle="1" w:styleId="505">
    <w:name w:val="文档正文"/>
    <w:basedOn w:val="1"/>
    <w:qFormat/>
    <w:uiPriority w:val="0"/>
    <w:rPr>
      <w:rFonts w:ascii="宋体"/>
      <w:szCs w:val="20"/>
    </w:rPr>
  </w:style>
  <w:style w:type="paragraph" w:customStyle="1" w:styleId="506">
    <w:name w:val="默认段落字体 Para Char Char Char Char Char"/>
    <w:basedOn w:val="1"/>
    <w:qFormat/>
    <w:uiPriority w:val="0"/>
    <w:pPr>
      <w:spacing w:before="100" w:beforeAutospacing="1" w:after="100" w:afterAutospacing="1" w:line="360" w:lineRule="auto"/>
      <w:ind w:firstLine="200"/>
      <w:jc w:val="left"/>
    </w:pPr>
    <w:rPr>
      <w:rFonts w:ascii="Arial" w:hAnsi="Arial"/>
      <w:sz w:val="24"/>
      <w:lang w:eastAsia="en-US"/>
    </w:rPr>
  </w:style>
  <w:style w:type="paragraph" w:customStyle="1" w:styleId="507">
    <w:name w:val="标题2"/>
    <w:basedOn w:val="1"/>
    <w:qFormat/>
    <w:uiPriority w:val="0"/>
    <w:pPr>
      <w:tabs>
        <w:tab w:val="left" w:pos="0"/>
      </w:tabs>
    </w:pPr>
    <w:rPr>
      <w:rFonts w:ascii="黑体" w:eastAsia="黑体"/>
      <w:sz w:val="24"/>
    </w:rPr>
  </w:style>
  <w:style w:type="paragraph" w:customStyle="1" w:styleId="508">
    <w:name w:val="Char Char Char Char Char Char Char Char Char Char Char Char Char1"/>
    <w:basedOn w:val="1"/>
    <w:qFormat/>
    <w:uiPriority w:val="0"/>
    <w:pPr>
      <w:widowControl/>
      <w:spacing w:after="160" w:line="240" w:lineRule="exact"/>
      <w:jc w:val="left"/>
    </w:pPr>
    <w:rPr>
      <w:rFonts w:ascii="Arial" w:hAnsi="Arial" w:eastAsia="Times New Roman" w:cs="Verdana"/>
      <w:b/>
      <w:sz w:val="24"/>
      <w:szCs w:val="32"/>
      <w:lang w:eastAsia="en-US"/>
    </w:rPr>
  </w:style>
  <w:style w:type="paragraph" w:customStyle="1" w:styleId="509">
    <w:name w:val="样式2"/>
    <w:basedOn w:val="77"/>
    <w:qFormat/>
    <w:uiPriority w:val="0"/>
    <w:pPr>
      <w:spacing w:line="415" w:lineRule="auto"/>
    </w:pPr>
    <w:rPr>
      <w:rFonts w:ascii="Calibri" w:hAnsi="Calibri"/>
      <w:bCs/>
      <w:color w:val="000000"/>
      <w:sz w:val="28"/>
      <w:szCs w:val="28"/>
    </w:rPr>
  </w:style>
  <w:style w:type="paragraph" w:customStyle="1" w:styleId="510">
    <w:name w:val="样式3"/>
    <w:basedOn w:val="77"/>
    <w:qFormat/>
    <w:uiPriority w:val="0"/>
    <w:pPr>
      <w:spacing w:line="415" w:lineRule="auto"/>
    </w:pPr>
    <w:rPr>
      <w:rFonts w:ascii="Calibri" w:hAnsi="Calibri"/>
      <w:bCs/>
      <w:color w:val="000000"/>
      <w:sz w:val="28"/>
      <w:szCs w:val="28"/>
    </w:rPr>
  </w:style>
  <w:style w:type="paragraph" w:customStyle="1" w:styleId="511">
    <w:name w:val="样式4"/>
    <w:basedOn w:val="77"/>
    <w:qFormat/>
    <w:uiPriority w:val="0"/>
    <w:pPr>
      <w:spacing w:line="415" w:lineRule="auto"/>
    </w:pPr>
    <w:rPr>
      <w:rFonts w:ascii="Calibri" w:hAnsi="Calibri"/>
      <w:bCs/>
      <w:color w:val="000000"/>
      <w:sz w:val="28"/>
      <w:szCs w:val="28"/>
    </w:rPr>
  </w:style>
  <w:style w:type="paragraph" w:customStyle="1" w:styleId="512">
    <w:name w:val="样式5"/>
    <w:basedOn w:val="77"/>
    <w:qFormat/>
    <w:uiPriority w:val="0"/>
    <w:pPr>
      <w:spacing w:line="415" w:lineRule="auto"/>
    </w:pPr>
    <w:rPr>
      <w:rFonts w:ascii="Calibri" w:hAnsi="Calibri"/>
      <w:bCs/>
      <w:color w:val="000000"/>
      <w:sz w:val="28"/>
      <w:szCs w:val="28"/>
    </w:rPr>
  </w:style>
  <w:style w:type="paragraph" w:customStyle="1" w:styleId="513">
    <w:name w:val="样式6"/>
    <w:basedOn w:val="445"/>
    <w:qFormat/>
    <w:uiPriority w:val="0"/>
    <w:pPr>
      <w:keepNext/>
      <w:keepLines/>
      <w:spacing w:before="260" w:after="260" w:line="415" w:lineRule="auto"/>
      <w:outlineLvl w:val="1"/>
    </w:pPr>
    <w:rPr>
      <w:rFonts w:ascii="Times New Roman" w:hAnsi="Times New Roman" w:eastAsia="宋体" w:cs="Times New Roman"/>
      <w:b/>
      <w:bCs/>
      <w:sz w:val="32"/>
      <w:szCs w:val="32"/>
    </w:rPr>
  </w:style>
  <w:style w:type="paragraph" w:customStyle="1" w:styleId="514">
    <w:name w:val="大汉方案正文 Char"/>
    <w:basedOn w:val="1"/>
    <w:qFormat/>
    <w:uiPriority w:val="0"/>
    <w:pPr>
      <w:spacing w:line="360" w:lineRule="auto"/>
      <w:ind w:firstLine="200"/>
    </w:pPr>
    <w:rPr>
      <w:rFonts w:ascii="Arial" w:hAnsi="Arial"/>
      <w:sz w:val="24"/>
    </w:rPr>
  </w:style>
  <w:style w:type="character" w:customStyle="1" w:styleId="515">
    <w:name w:val="标题 2 Char Char Char"/>
    <w:qFormat/>
    <w:uiPriority w:val="0"/>
    <w:rPr>
      <w:rFonts w:ascii="Arial" w:hAnsi="Arial" w:eastAsia="宋体" w:cs="Arial"/>
      <w:b/>
      <w:bCs/>
      <w:i/>
      <w:iCs/>
      <w:sz w:val="28"/>
      <w:szCs w:val="28"/>
      <w:lang w:val="en-US" w:eastAsia="zh-CN" w:bidi="ar-SA"/>
    </w:rPr>
  </w:style>
  <w:style w:type="character" w:customStyle="1" w:styleId="516">
    <w:name w:val="question-title"/>
    <w:qFormat/>
    <w:uiPriority w:val="0"/>
  </w:style>
  <w:style w:type="paragraph" w:customStyle="1" w:styleId="517">
    <w:name w:val="说明书2级标题"/>
    <w:basedOn w:val="1"/>
    <w:next w:val="518"/>
    <w:qFormat/>
    <w:uiPriority w:val="0"/>
    <w:pPr>
      <w:numPr>
        <w:ilvl w:val="2"/>
        <w:numId w:val="2"/>
      </w:numPr>
      <w:spacing w:before="100"/>
    </w:pPr>
    <w:rPr>
      <w:rFonts w:eastAsia="黑体"/>
      <w:sz w:val="28"/>
      <w:szCs w:val="28"/>
    </w:rPr>
  </w:style>
  <w:style w:type="paragraph" w:customStyle="1" w:styleId="518">
    <w:name w:val="说明书3级标题"/>
    <w:basedOn w:val="1"/>
    <w:next w:val="1"/>
    <w:qFormat/>
    <w:uiPriority w:val="0"/>
    <w:pPr>
      <w:numPr>
        <w:ilvl w:val="2"/>
        <w:numId w:val="3"/>
      </w:numPr>
      <w:spacing w:line="360" w:lineRule="auto"/>
    </w:pPr>
    <w:rPr>
      <w:rFonts w:eastAsia="黑体"/>
      <w:sz w:val="24"/>
    </w:rPr>
  </w:style>
  <w:style w:type="character" w:customStyle="1" w:styleId="519">
    <w:name w:val="style15"/>
    <w:qFormat/>
    <w:uiPriority w:val="0"/>
  </w:style>
  <w:style w:type="paragraph" w:customStyle="1" w:styleId="520">
    <w:name w:val="列出段落[858D7CFB-ED40-4347-BF05-701D383B685F][858D7CFB-ED40-4347-BF05-701D383B685F]"/>
    <w:basedOn w:val="1"/>
    <w:qFormat/>
    <w:uiPriority w:val="0"/>
    <w:pPr>
      <w:ind w:firstLine="200"/>
    </w:pPr>
  </w:style>
  <w:style w:type="paragraph" w:customStyle="1" w:styleId="521">
    <w:name w:val="默认段落字体 Para Char Char Char Char Char Char Char Char Char1 Char Char Char Char Char Char Char Char"/>
    <w:basedOn w:val="265"/>
    <w:qFormat/>
    <w:uiPriority w:val="0"/>
  </w:style>
  <w:style w:type="paragraph" w:customStyle="1" w:styleId="522">
    <w:name w:val="style42"/>
    <w:basedOn w:val="1"/>
    <w:qFormat/>
    <w:uiPriority w:val="0"/>
    <w:pPr>
      <w:widowControl/>
      <w:spacing w:before="100" w:beforeAutospacing="1" w:after="100" w:afterAutospacing="1"/>
      <w:jc w:val="left"/>
    </w:pPr>
    <w:rPr>
      <w:rFonts w:ascii="宋体" w:cs="宋体"/>
      <w:color w:val="000000"/>
      <w:sz w:val="15"/>
      <w:szCs w:val="15"/>
    </w:rPr>
  </w:style>
  <w:style w:type="paragraph" w:customStyle="1" w:styleId="523">
    <w:name w:val="Char Char1 Char Char Char Char Char Char Char Char"/>
    <w:basedOn w:val="1"/>
    <w:qFormat/>
    <w:uiPriority w:val="0"/>
    <w:pPr>
      <w:widowControl/>
      <w:spacing w:after="160" w:line="240" w:lineRule="exact"/>
      <w:jc w:val="left"/>
    </w:pPr>
  </w:style>
  <w:style w:type="paragraph" w:customStyle="1" w:styleId="524">
    <w:name w:val="技术方案正文样式"/>
    <w:basedOn w:val="1"/>
    <w:qFormat/>
    <w:uiPriority w:val="0"/>
    <w:pPr>
      <w:spacing w:line="400" w:lineRule="exact"/>
      <w:ind w:firstLine="200"/>
    </w:pPr>
    <w:rPr>
      <w:rFonts w:ascii="宋体" w:cs="宋体"/>
      <w:sz w:val="24"/>
      <w:szCs w:val="21"/>
    </w:rPr>
  </w:style>
  <w:style w:type="paragraph" w:customStyle="1" w:styleId="525">
    <w:name w:val="修订1"/>
    <w:qFormat/>
    <w:uiPriority w:val="0"/>
    <w:rPr>
      <w:rFonts w:ascii="Times New Roman" w:hAnsi="Times New Roman" w:eastAsia="宋体" w:cs="Times New Roman"/>
      <w:sz w:val="21"/>
      <w:szCs w:val="24"/>
      <w:lang w:val="en-US" w:eastAsia="zh-CN" w:bidi="ar-SA"/>
    </w:rPr>
  </w:style>
  <w:style w:type="paragraph" w:customStyle="1" w:styleId="526">
    <w:name w:val="D&amp;L"/>
    <w:basedOn w:val="286"/>
    <w:qFormat/>
    <w:uiPriority w:val="0"/>
    <w:pPr>
      <w:pBdr>
        <w:bottom w:val="single" w:color="000000" w:sz="18" w:space="1"/>
      </w:pBdr>
      <w:spacing w:line="240" w:lineRule="atLeast"/>
    </w:pPr>
    <w:rPr>
      <w:sz w:val="24"/>
      <w:szCs w:val="20"/>
    </w:rPr>
  </w:style>
  <w:style w:type="paragraph" w:customStyle="1" w:styleId="527">
    <w:name w:val="样式 标题 2 + Times New Roman 四号 非加粗 段前: 5 磅 段后: 0 磅 行距: 固定值 20..."/>
    <w:basedOn w:val="75"/>
    <w:qFormat/>
    <w:uiPriority w:val="0"/>
    <w:pPr>
      <w:spacing w:before="100" w:after="0" w:line="400" w:lineRule="exact"/>
    </w:pPr>
    <w:rPr>
      <w:rFonts w:ascii="Times New Roman" w:hAnsi="Times New Roman" w:cs="宋体"/>
      <w:b w:val="0"/>
      <w:sz w:val="28"/>
    </w:rPr>
  </w:style>
  <w:style w:type="paragraph" w:customStyle="1" w:styleId="528">
    <w:name w:val="Char Char Char Char Char Char Char1 Char"/>
    <w:basedOn w:val="1"/>
    <w:qFormat/>
    <w:uiPriority w:val="0"/>
    <w:rPr>
      <w:rFonts w:ascii="Tahoma" w:hAnsi="Tahoma"/>
      <w:sz w:val="24"/>
      <w:szCs w:val="20"/>
    </w:rPr>
  </w:style>
  <w:style w:type="paragraph" w:customStyle="1" w:styleId="529">
    <w:name w:val="TOC 标题2"/>
    <w:basedOn w:val="73"/>
    <w:next w:val="1"/>
    <w:qFormat/>
    <w:uiPriority w:val="0"/>
    <w:pPr>
      <w:widowControl/>
      <w:spacing w:before="480" w:after="0" w:line="276" w:lineRule="auto"/>
      <w:outlineLvl w:val="9"/>
    </w:pPr>
    <w:rPr>
      <w:rFonts w:ascii="Cambria" w:hAnsi="Cambria"/>
      <w:color w:val="365F91"/>
      <w:sz w:val="28"/>
    </w:rPr>
  </w:style>
  <w:style w:type="paragraph" w:customStyle="1" w:styleId="530">
    <w:name w:val="无间隔11"/>
    <w:link w:val="531"/>
    <w:qFormat/>
    <w:uiPriority w:val="0"/>
    <w:rPr>
      <w:rFonts w:ascii="Calibri" w:hAnsi="Calibri" w:eastAsia="宋体" w:cs="Times New Roman"/>
      <w:sz w:val="22"/>
      <w:lang w:val="en-US" w:eastAsia="zh-CN" w:bidi="ar-SA"/>
    </w:rPr>
  </w:style>
  <w:style w:type="character" w:customStyle="1" w:styleId="531">
    <w:name w:val="无间隔 字符"/>
    <w:link w:val="530"/>
    <w:qFormat/>
    <w:uiPriority w:val="0"/>
    <w:rPr>
      <w:rFonts w:ascii="Calibri" w:hAnsi="Calibri"/>
      <w:sz w:val="22"/>
      <w:lang w:bidi="ar-SA"/>
    </w:rPr>
  </w:style>
  <w:style w:type="paragraph" w:customStyle="1" w:styleId="532">
    <w:name w:val="Normal_0"/>
    <w:qFormat/>
    <w:uiPriority w:val="0"/>
    <w:rPr>
      <w:rFonts w:ascii="黑体" w:hAnsi="黑体" w:eastAsia="黑体" w:cs="Times New Roman"/>
      <w:b/>
      <w:sz w:val="32"/>
      <w:szCs w:val="24"/>
      <w:lang w:val="en-US" w:eastAsia="zh-CN" w:bidi="ar-SA"/>
    </w:rPr>
  </w:style>
  <w:style w:type="paragraph" w:customStyle="1" w:styleId="533">
    <w:name w:val="正文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4">
    <w:name w:val="Normal_1"/>
    <w:qFormat/>
    <w:uiPriority w:val="0"/>
    <w:rPr>
      <w:rFonts w:ascii="黑体" w:hAnsi="黑体" w:eastAsia="黑体" w:cs="Times New Roman"/>
      <w:b/>
      <w:sz w:val="32"/>
      <w:szCs w:val="24"/>
      <w:lang w:val="en-US" w:eastAsia="zh-CN" w:bidi="ar-SA"/>
    </w:rPr>
  </w:style>
  <w:style w:type="paragraph" w:customStyle="1" w:styleId="535">
    <w:name w:val="正文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6">
    <w:name w:val="正文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7">
    <w:name w:val="正文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8">
    <w:name w:val="Normal_2"/>
    <w:qFormat/>
    <w:uiPriority w:val="0"/>
    <w:rPr>
      <w:rFonts w:ascii="黑体" w:hAnsi="黑体" w:eastAsia="黑体" w:cs="Times New Roman"/>
      <w:b/>
      <w:sz w:val="32"/>
      <w:szCs w:val="24"/>
      <w:lang w:val="en-US" w:eastAsia="zh-CN" w:bidi="ar-SA"/>
    </w:rPr>
  </w:style>
  <w:style w:type="paragraph" w:customStyle="1" w:styleId="539">
    <w:name w:val="正文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40">
    <w:name w:val="Normal_3"/>
    <w:qFormat/>
    <w:uiPriority w:val="0"/>
    <w:rPr>
      <w:rFonts w:ascii="黑体" w:hAnsi="黑体" w:eastAsia="黑体" w:cs="Times New Roman"/>
      <w:b/>
      <w:sz w:val="32"/>
      <w:szCs w:val="24"/>
      <w:lang w:val="en-US" w:eastAsia="zh-CN" w:bidi="ar-SA"/>
    </w:rPr>
  </w:style>
  <w:style w:type="paragraph" w:customStyle="1" w:styleId="541">
    <w:name w:val="Normal_4"/>
    <w:qFormat/>
    <w:uiPriority w:val="0"/>
    <w:rPr>
      <w:rFonts w:ascii="黑体" w:hAnsi="黑体" w:eastAsia="黑体" w:cs="Times New Roman"/>
      <w:b/>
      <w:sz w:val="32"/>
      <w:szCs w:val="24"/>
      <w:lang w:val="en-US" w:eastAsia="zh-CN" w:bidi="ar-SA"/>
    </w:rPr>
  </w:style>
  <w:style w:type="paragraph" w:customStyle="1" w:styleId="542">
    <w:name w:val="Normal_5"/>
    <w:qFormat/>
    <w:uiPriority w:val="0"/>
    <w:rPr>
      <w:rFonts w:ascii="黑体" w:hAnsi="黑体" w:eastAsia="黑体" w:cs="Times New Roman"/>
      <w:b/>
      <w:sz w:val="32"/>
      <w:szCs w:val="24"/>
      <w:lang w:val="en-US" w:eastAsia="zh-CN" w:bidi="ar-SA"/>
    </w:rPr>
  </w:style>
  <w:style w:type="paragraph" w:customStyle="1" w:styleId="543">
    <w:name w:val="正文_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44">
    <w:name w:val="Normal_6"/>
    <w:qFormat/>
    <w:uiPriority w:val="0"/>
    <w:rPr>
      <w:rFonts w:ascii="黑体" w:hAnsi="黑体" w:eastAsia="黑体" w:cs="Times New Roman"/>
      <w:b/>
      <w:sz w:val="32"/>
      <w:szCs w:val="24"/>
      <w:lang w:val="en-US" w:eastAsia="zh-CN" w:bidi="ar-SA"/>
    </w:rPr>
  </w:style>
  <w:style w:type="paragraph" w:customStyle="1" w:styleId="545">
    <w:name w:val="正文_5"/>
    <w:qFormat/>
    <w:uiPriority w:val="0"/>
    <w:pPr>
      <w:widowControl w:val="0"/>
      <w:jc w:val="both"/>
    </w:pPr>
    <w:rPr>
      <w:rFonts w:ascii="Times New Roman" w:hAnsi="Times New Roman" w:eastAsia="宋体" w:cs="Times New Roman"/>
      <w:sz w:val="21"/>
      <w:lang w:val="en-US" w:eastAsia="zh-CN" w:bidi="ar-SA"/>
    </w:rPr>
  </w:style>
  <w:style w:type="paragraph" w:customStyle="1" w:styleId="546">
    <w:name w:val="Normal_7"/>
    <w:qFormat/>
    <w:uiPriority w:val="0"/>
    <w:rPr>
      <w:rFonts w:ascii="黑体" w:hAnsi="黑体" w:eastAsia="黑体" w:cs="Times New Roman"/>
      <w:b/>
      <w:sz w:val="32"/>
      <w:szCs w:val="24"/>
      <w:lang w:val="en-US" w:eastAsia="zh-CN" w:bidi="ar-SA"/>
    </w:rPr>
  </w:style>
  <w:style w:type="paragraph" w:customStyle="1" w:styleId="547">
    <w:name w:val="Normal_8"/>
    <w:qFormat/>
    <w:uiPriority w:val="0"/>
    <w:rPr>
      <w:rFonts w:ascii="Times New Roman" w:hAnsi="Times New Roman" w:eastAsia="Times New Roman" w:cs="Times New Roman"/>
      <w:sz w:val="24"/>
      <w:szCs w:val="24"/>
      <w:lang w:val="en-US" w:eastAsia="zh-CN" w:bidi="ar-SA"/>
    </w:rPr>
  </w:style>
  <w:style w:type="paragraph" w:customStyle="1" w:styleId="548">
    <w:name w:val="Normal_9"/>
    <w:qFormat/>
    <w:uiPriority w:val="0"/>
    <w:rPr>
      <w:rFonts w:ascii="黑体" w:hAnsi="黑体" w:eastAsia="黑体" w:cs="Times New Roman"/>
      <w:b/>
      <w:sz w:val="32"/>
      <w:szCs w:val="24"/>
      <w:lang w:val="en-US" w:eastAsia="zh-CN" w:bidi="ar-SA"/>
    </w:rPr>
  </w:style>
  <w:style w:type="paragraph" w:customStyle="1" w:styleId="549">
    <w:name w:val="正文_6"/>
    <w:qFormat/>
    <w:uiPriority w:val="0"/>
    <w:pPr>
      <w:widowControl w:val="0"/>
      <w:jc w:val="both"/>
    </w:pPr>
    <w:rPr>
      <w:rFonts w:ascii="Calibri" w:hAnsi="Calibri" w:eastAsia="宋体" w:cs="Times New Roman"/>
      <w:sz w:val="21"/>
      <w:szCs w:val="22"/>
      <w:lang w:val="en-US" w:eastAsia="zh-CN" w:bidi="ar-SA"/>
    </w:rPr>
  </w:style>
  <w:style w:type="paragraph" w:customStyle="1" w:styleId="550">
    <w:name w:val="Normal_10"/>
    <w:qFormat/>
    <w:uiPriority w:val="0"/>
    <w:rPr>
      <w:rFonts w:ascii="黑体" w:hAnsi="黑体" w:eastAsia="黑体" w:cs="Times New Roman"/>
      <w:b/>
      <w:sz w:val="32"/>
      <w:szCs w:val="24"/>
      <w:lang w:val="en-US" w:eastAsia="zh-CN" w:bidi="ar-SA"/>
    </w:rPr>
  </w:style>
  <w:style w:type="paragraph" w:customStyle="1" w:styleId="551">
    <w:name w:val="正文_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52">
    <w:name w:val="正文缩进_0"/>
    <w:basedOn w:val="551"/>
    <w:link w:val="553"/>
    <w:unhideWhenUsed/>
    <w:qFormat/>
    <w:uiPriority w:val="0"/>
    <w:pPr>
      <w:ind w:firstLine="420"/>
    </w:pPr>
    <w:rPr>
      <w:szCs w:val="22"/>
    </w:rPr>
  </w:style>
  <w:style w:type="character" w:customStyle="1" w:styleId="553">
    <w:name w:val="正文缩进 Char1_0"/>
    <w:link w:val="552"/>
    <w:qFormat/>
    <w:uiPriority w:val="0"/>
    <w:rPr>
      <w:sz w:val="21"/>
      <w:szCs w:val="22"/>
    </w:rPr>
  </w:style>
  <w:style w:type="paragraph" w:customStyle="1" w:styleId="554">
    <w:name w:val="纯文本_0"/>
    <w:basedOn w:val="551"/>
    <w:link w:val="555"/>
    <w:unhideWhenUsed/>
    <w:qFormat/>
    <w:uiPriority w:val="0"/>
    <w:rPr>
      <w:rFonts w:ascii="宋体" w:hAnsi="Courier New"/>
      <w:szCs w:val="21"/>
    </w:rPr>
  </w:style>
  <w:style w:type="character" w:customStyle="1" w:styleId="555">
    <w:name w:val="纯文本 Char_0"/>
    <w:link w:val="554"/>
    <w:qFormat/>
    <w:uiPriority w:val="0"/>
    <w:rPr>
      <w:rFonts w:ascii="宋体" w:hAnsi="Courier New" w:cs="Courier New"/>
      <w:sz w:val="21"/>
      <w:szCs w:val="21"/>
    </w:rPr>
  </w:style>
  <w:style w:type="paragraph" w:customStyle="1" w:styleId="556">
    <w:name w:val="Normal_11"/>
    <w:qFormat/>
    <w:uiPriority w:val="0"/>
    <w:rPr>
      <w:rFonts w:ascii="黑体" w:hAnsi="黑体" w:eastAsia="黑体" w:cs="Times New Roman"/>
      <w:b/>
      <w:sz w:val="32"/>
      <w:szCs w:val="24"/>
      <w:lang w:val="en-US" w:eastAsia="zh-CN" w:bidi="ar-SA"/>
    </w:rPr>
  </w:style>
  <w:style w:type="paragraph" w:customStyle="1" w:styleId="557">
    <w:name w:val="正文_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58">
    <w:name w:val="Normal_12"/>
    <w:qFormat/>
    <w:uiPriority w:val="0"/>
    <w:rPr>
      <w:rFonts w:ascii="黑体" w:hAnsi="黑体" w:eastAsia="黑体" w:cs="Times New Roman"/>
      <w:b/>
      <w:sz w:val="32"/>
      <w:szCs w:val="24"/>
      <w:lang w:val="en-US" w:eastAsia="zh-CN" w:bidi="ar-SA"/>
    </w:rPr>
  </w:style>
  <w:style w:type="paragraph" w:customStyle="1" w:styleId="559">
    <w:name w:val="正文_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0">
    <w:name w:val="Normal_13"/>
    <w:qFormat/>
    <w:uiPriority w:val="0"/>
    <w:rPr>
      <w:rFonts w:ascii="黑体" w:hAnsi="黑体" w:eastAsia="黑体" w:cs="Times New Roman"/>
      <w:b/>
      <w:sz w:val="32"/>
      <w:szCs w:val="24"/>
      <w:lang w:val="en-US" w:eastAsia="zh-CN" w:bidi="ar-SA"/>
    </w:rPr>
  </w:style>
  <w:style w:type="paragraph" w:customStyle="1" w:styleId="561">
    <w:name w:val="正文_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2">
    <w:name w:val="Normal_14"/>
    <w:qFormat/>
    <w:uiPriority w:val="0"/>
    <w:rPr>
      <w:rFonts w:ascii="黑体" w:hAnsi="黑体" w:eastAsia="黑体" w:cs="Times New Roman"/>
      <w:b/>
      <w:sz w:val="32"/>
      <w:szCs w:val="24"/>
      <w:lang w:val="en-US" w:eastAsia="zh-CN" w:bidi="ar-SA"/>
    </w:rPr>
  </w:style>
  <w:style w:type="paragraph" w:customStyle="1" w:styleId="563">
    <w:name w:val="正文_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4">
    <w:name w:val="Normal_15"/>
    <w:qFormat/>
    <w:uiPriority w:val="0"/>
    <w:rPr>
      <w:rFonts w:ascii="黑体" w:hAnsi="黑体" w:eastAsia="黑体" w:cs="Times New Roman"/>
      <w:b/>
      <w:sz w:val="32"/>
      <w:szCs w:val="24"/>
      <w:lang w:val="en-US" w:eastAsia="zh-CN" w:bidi="ar-SA"/>
    </w:rPr>
  </w:style>
  <w:style w:type="paragraph" w:customStyle="1" w:styleId="565">
    <w:name w:val="正文_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6">
    <w:name w:val="Normal_16"/>
    <w:qFormat/>
    <w:uiPriority w:val="0"/>
    <w:rPr>
      <w:rFonts w:ascii="黑体" w:hAnsi="黑体" w:eastAsia="黑体" w:cs="Times New Roman"/>
      <w:b/>
      <w:sz w:val="32"/>
      <w:szCs w:val="24"/>
      <w:lang w:val="en-US" w:eastAsia="zh-CN" w:bidi="ar-SA"/>
    </w:rPr>
  </w:style>
  <w:style w:type="paragraph" w:customStyle="1" w:styleId="567">
    <w:name w:val="正文_1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8">
    <w:name w:val="正文_14"/>
    <w:qFormat/>
    <w:uiPriority w:val="0"/>
    <w:pPr>
      <w:widowControl w:val="0"/>
      <w:jc w:val="both"/>
    </w:pPr>
    <w:rPr>
      <w:rFonts w:ascii="Calibri" w:hAnsi="Calibri" w:eastAsia="宋体" w:cs="Times New Roman"/>
      <w:sz w:val="21"/>
      <w:szCs w:val="22"/>
      <w:lang w:val="en-US" w:eastAsia="zh-CN" w:bidi="ar-SA"/>
    </w:rPr>
  </w:style>
  <w:style w:type="paragraph" w:customStyle="1" w:styleId="569">
    <w:name w:val="Normal_17"/>
    <w:qFormat/>
    <w:uiPriority w:val="0"/>
    <w:rPr>
      <w:rFonts w:ascii="黑体" w:hAnsi="黑体" w:eastAsia="黑体" w:cs="Times New Roman"/>
      <w:b/>
      <w:sz w:val="32"/>
      <w:szCs w:val="24"/>
      <w:lang w:val="en-US" w:eastAsia="zh-CN" w:bidi="ar-SA"/>
    </w:rPr>
  </w:style>
  <w:style w:type="paragraph" w:customStyle="1" w:styleId="570">
    <w:name w:val="Normal_18"/>
    <w:qFormat/>
    <w:uiPriority w:val="0"/>
    <w:rPr>
      <w:rFonts w:ascii="黑体" w:hAnsi="黑体" w:eastAsia="黑体" w:cs="Times New Roman"/>
      <w:b/>
      <w:sz w:val="32"/>
      <w:szCs w:val="24"/>
      <w:lang w:val="en-US" w:eastAsia="zh-CN" w:bidi="ar-SA"/>
    </w:rPr>
  </w:style>
  <w:style w:type="paragraph" w:customStyle="1" w:styleId="571">
    <w:name w:val="正文_15"/>
    <w:qFormat/>
    <w:uiPriority w:val="0"/>
    <w:pPr>
      <w:widowControl w:val="0"/>
      <w:jc w:val="both"/>
    </w:pPr>
    <w:rPr>
      <w:rFonts w:ascii="Calibri" w:hAnsi="Calibri" w:eastAsia="宋体" w:cs="Times New Roman"/>
      <w:sz w:val="21"/>
      <w:szCs w:val="22"/>
      <w:lang w:val="en-US" w:eastAsia="zh-CN" w:bidi="ar-SA"/>
    </w:rPr>
  </w:style>
  <w:style w:type="paragraph" w:customStyle="1" w:styleId="572">
    <w:name w:val="Normal_0_0"/>
    <w:qFormat/>
    <w:uiPriority w:val="0"/>
    <w:rPr>
      <w:rFonts w:ascii="黑体" w:hAnsi="黑体" w:eastAsia="黑体" w:cs="Times New Roman"/>
      <w:b/>
      <w:sz w:val="40"/>
      <w:szCs w:val="24"/>
      <w:lang w:val="en-US" w:eastAsia="zh-CN" w:bidi="ar-SA"/>
    </w:rPr>
  </w:style>
  <w:style w:type="paragraph" w:customStyle="1" w:styleId="573">
    <w:name w:val="Normal_1_0"/>
    <w:qFormat/>
    <w:uiPriority w:val="0"/>
    <w:rPr>
      <w:rFonts w:ascii="Times New Roman" w:hAnsi="Times New Roman" w:eastAsia="Times New Roman" w:cs="Times New Roman"/>
      <w:sz w:val="24"/>
      <w:szCs w:val="24"/>
      <w:lang w:val="en-US" w:eastAsia="zh-CN" w:bidi="ar-SA"/>
    </w:rPr>
  </w:style>
  <w:style w:type="paragraph" w:customStyle="1" w:styleId="574">
    <w:name w:val="正文_0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75">
    <w:name w:val="正文_3"/>
    <w:next w:val="576"/>
    <w:qFormat/>
    <w:uiPriority w:val="0"/>
    <w:pPr>
      <w:widowControl w:val="0"/>
      <w:jc w:val="both"/>
    </w:pPr>
    <w:rPr>
      <w:rFonts w:ascii="Calibri" w:hAnsi="Calibri" w:eastAsia="宋体" w:cs="Times New Roman"/>
      <w:sz w:val="21"/>
      <w:szCs w:val="22"/>
      <w:lang w:val="en-US" w:eastAsia="zh-CN" w:bidi="ar-SA"/>
    </w:rPr>
  </w:style>
  <w:style w:type="paragraph" w:customStyle="1" w:styleId="576">
    <w:name w:val="正文首行缩进 2_1"/>
    <w:basedOn w:val="577"/>
    <w:next w:val="579"/>
    <w:qFormat/>
    <w:uiPriority w:val="0"/>
    <w:pPr>
      <w:spacing w:after="120"/>
      <w:ind w:left="200" w:firstLine="200"/>
    </w:pPr>
    <w:rPr>
      <w:rFonts w:ascii="Times New Roman" w:hAnsi="Times New Roman"/>
      <w:sz w:val="24"/>
      <w:szCs w:val="24"/>
    </w:rPr>
  </w:style>
  <w:style w:type="paragraph" w:customStyle="1" w:styleId="577">
    <w:name w:val="正文文本缩进_1"/>
    <w:basedOn w:val="578"/>
    <w:next w:val="576"/>
    <w:qFormat/>
    <w:uiPriority w:val="0"/>
    <w:pPr>
      <w:ind w:firstLine="225"/>
    </w:pPr>
    <w:rPr>
      <w:rFonts w:ascii="仿宋_GB2312" w:eastAsia="仿宋_GB2312"/>
      <w:sz w:val="32"/>
    </w:rPr>
  </w:style>
  <w:style w:type="paragraph" w:customStyle="1" w:styleId="578">
    <w:name w:val="正文_18"/>
    <w:next w:val="577"/>
    <w:qFormat/>
    <w:uiPriority w:val="0"/>
    <w:pPr>
      <w:widowControl w:val="0"/>
      <w:jc w:val="both"/>
    </w:pPr>
    <w:rPr>
      <w:rFonts w:ascii="Calibri" w:hAnsi="Calibri" w:eastAsia="宋体" w:cs="Times New Roman"/>
      <w:sz w:val="21"/>
      <w:szCs w:val="22"/>
      <w:lang w:val="en-US" w:eastAsia="zh-CN" w:bidi="ar-SA"/>
    </w:rPr>
  </w:style>
  <w:style w:type="paragraph" w:customStyle="1" w:styleId="579">
    <w:name w:val="xl53_0"/>
    <w:next w:val="575"/>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580">
    <w:name w:val="正文_16"/>
    <w:next w:val="581"/>
    <w:qFormat/>
    <w:uiPriority w:val="0"/>
    <w:pPr>
      <w:widowControl w:val="0"/>
      <w:jc w:val="both"/>
    </w:pPr>
    <w:rPr>
      <w:rFonts w:ascii="Calibri" w:hAnsi="Calibri" w:eastAsia="宋体" w:cs="Times New Roman"/>
      <w:sz w:val="21"/>
      <w:szCs w:val="22"/>
      <w:lang w:val="en-US" w:eastAsia="zh-CN" w:bidi="ar-SA"/>
    </w:rPr>
  </w:style>
  <w:style w:type="paragraph" w:customStyle="1" w:styleId="581">
    <w:name w:val="正文首行缩进 2_0"/>
    <w:basedOn w:val="582"/>
    <w:qFormat/>
    <w:uiPriority w:val="0"/>
    <w:pPr>
      <w:spacing w:after="120"/>
      <w:ind w:left="200" w:firstLine="200"/>
    </w:pPr>
    <w:rPr>
      <w:rFonts w:ascii="Times New Roman" w:hAnsi="Times New Roman"/>
      <w:sz w:val="24"/>
      <w:szCs w:val="24"/>
    </w:rPr>
  </w:style>
  <w:style w:type="paragraph" w:customStyle="1" w:styleId="582">
    <w:name w:val="正文文本缩进_0"/>
    <w:basedOn w:val="580"/>
    <w:qFormat/>
    <w:uiPriority w:val="0"/>
    <w:pPr>
      <w:ind w:firstLine="225"/>
    </w:pPr>
    <w:rPr>
      <w:rFonts w:ascii="仿宋_GB2312" w:eastAsia="仿宋_GB2312"/>
      <w:sz w:val="32"/>
    </w:rPr>
  </w:style>
  <w:style w:type="paragraph" w:customStyle="1" w:styleId="583">
    <w:name w:val="正文_2"/>
    <w:qFormat/>
    <w:uiPriority w:val="0"/>
    <w:pPr>
      <w:widowControl w:val="0"/>
      <w:jc w:val="both"/>
    </w:pPr>
    <w:rPr>
      <w:rFonts w:ascii="Calibri" w:hAnsi="Calibri" w:eastAsia="宋体" w:cs="Times New Roman"/>
      <w:sz w:val="21"/>
      <w:szCs w:val="22"/>
      <w:lang w:val="en-US" w:eastAsia="zh-CN" w:bidi="ar-SA"/>
    </w:rPr>
  </w:style>
  <w:style w:type="paragraph" w:customStyle="1" w:styleId="584">
    <w:name w:val="标题 12"/>
    <w:basedOn w:val="7"/>
    <w:next w:val="7"/>
    <w:qFormat/>
    <w:uiPriority w:val="0"/>
    <w:pPr>
      <w:keepNext/>
      <w:keepLines/>
      <w:spacing w:before="340" w:after="330" w:line="576" w:lineRule="auto"/>
      <w:outlineLvl w:val="0"/>
    </w:pPr>
    <w:rPr>
      <w:b/>
      <w:sz w:val="44"/>
      <w:szCs w:val="20"/>
    </w:rPr>
  </w:style>
  <w:style w:type="paragraph" w:customStyle="1" w:styleId="585">
    <w:name w:val="段_0"/>
    <w:next w:val="586"/>
    <w:qFormat/>
    <w:uiPriority w:val="0"/>
    <w:pPr>
      <w:ind w:firstLine="200"/>
      <w:jc w:val="both"/>
    </w:pPr>
    <w:rPr>
      <w:rFonts w:ascii="宋体" w:hAnsi="Times New Roman" w:eastAsia="宋体" w:cs="Times New Roman"/>
      <w:sz w:val="21"/>
      <w:lang w:val="en-US" w:eastAsia="zh-CN" w:bidi="ar-SA"/>
    </w:rPr>
  </w:style>
  <w:style w:type="paragraph" w:customStyle="1" w:styleId="586">
    <w:name w:val="Normal_19_1"/>
    <w:next w:val="585"/>
    <w:qFormat/>
    <w:uiPriority w:val="0"/>
    <w:rPr>
      <w:rFonts w:ascii="黑体" w:hAnsi="黑体" w:eastAsia="黑体" w:cs="Times New Roman"/>
      <w:b/>
      <w:sz w:val="32"/>
      <w:szCs w:val="24"/>
      <w:lang w:val="en-US" w:eastAsia="zh-CN" w:bidi="ar-SA"/>
    </w:rPr>
  </w:style>
  <w:style w:type="paragraph" w:customStyle="1" w:styleId="587">
    <w:name w:val="Normal_0_1"/>
    <w:qFormat/>
    <w:uiPriority w:val="0"/>
    <w:rPr>
      <w:rFonts w:ascii="黑体" w:hAnsi="黑体" w:eastAsia="黑体" w:cs="Times New Roman"/>
      <w:b/>
      <w:sz w:val="32"/>
      <w:szCs w:val="24"/>
      <w:lang w:val="en-US" w:eastAsia="zh-CN" w:bidi="ar-SA"/>
    </w:rPr>
  </w:style>
  <w:style w:type="paragraph" w:customStyle="1" w:styleId="588">
    <w:name w:val="Normal_1_1"/>
    <w:qFormat/>
    <w:uiPriority w:val="0"/>
    <w:pPr>
      <w:widowControl w:val="0"/>
      <w:jc w:val="both"/>
    </w:pPr>
    <w:rPr>
      <w:rFonts w:ascii="Calibri" w:hAnsi="Calibri" w:eastAsia="宋体" w:cs="Times New Roman"/>
      <w:sz w:val="21"/>
      <w:szCs w:val="22"/>
      <w:lang w:val="en-US" w:eastAsia="zh-CN" w:bidi="ar-SA"/>
    </w:rPr>
  </w:style>
  <w:style w:type="paragraph" w:customStyle="1" w:styleId="589">
    <w:name w:val="Normal_2_0"/>
    <w:qFormat/>
    <w:uiPriority w:val="0"/>
    <w:rPr>
      <w:rFonts w:ascii="黑体" w:hAnsi="黑体" w:eastAsia="黑体" w:cs="Times New Roman"/>
      <w:b/>
      <w:sz w:val="32"/>
      <w:szCs w:val="24"/>
      <w:lang w:val="en-US" w:eastAsia="zh-CN" w:bidi="ar-SA"/>
    </w:rPr>
  </w:style>
  <w:style w:type="paragraph" w:customStyle="1" w:styleId="590">
    <w:name w:val="正文_1_0_0"/>
    <w:qFormat/>
    <w:uiPriority w:val="0"/>
    <w:pPr>
      <w:widowControl w:val="0"/>
      <w:jc w:val="both"/>
    </w:pPr>
    <w:rPr>
      <w:rFonts w:ascii="Times New Roman" w:hAnsi="Times New Roman" w:eastAsia="宋体" w:cs="Times New Roman"/>
      <w:sz w:val="21"/>
      <w:lang w:val="en-US" w:eastAsia="zh-CN" w:bidi="ar-SA"/>
    </w:rPr>
  </w:style>
  <w:style w:type="paragraph" w:customStyle="1" w:styleId="591">
    <w:name w:val="Normal_3_0"/>
    <w:qFormat/>
    <w:uiPriority w:val="0"/>
    <w:rPr>
      <w:rFonts w:ascii="黑体" w:hAnsi="黑体" w:eastAsia="黑体" w:cs="Times New Roman"/>
      <w:b/>
      <w:sz w:val="32"/>
      <w:szCs w:val="24"/>
      <w:lang w:val="en-US" w:eastAsia="zh-CN" w:bidi="ar-SA"/>
    </w:rPr>
  </w:style>
  <w:style w:type="paragraph" w:customStyle="1" w:styleId="592">
    <w:name w:val="Normal_4_0"/>
    <w:qFormat/>
    <w:uiPriority w:val="0"/>
    <w:pPr>
      <w:widowControl w:val="0"/>
      <w:jc w:val="both"/>
    </w:pPr>
    <w:rPr>
      <w:rFonts w:ascii="Calibri" w:hAnsi="Calibri" w:eastAsia="宋体" w:cs="Times New Roman"/>
      <w:sz w:val="21"/>
      <w:szCs w:val="22"/>
      <w:lang w:val="en-US" w:eastAsia="zh-CN" w:bidi="ar-SA"/>
    </w:rPr>
  </w:style>
  <w:style w:type="paragraph" w:customStyle="1" w:styleId="593">
    <w:name w:val="Normal_5_0"/>
    <w:qFormat/>
    <w:uiPriority w:val="0"/>
    <w:rPr>
      <w:rFonts w:ascii="黑体" w:hAnsi="黑体" w:eastAsia="黑体" w:cs="Times New Roman"/>
      <w:b/>
      <w:sz w:val="32"/>
      <w:szCs w:val="24"/>
      <w:lang w:val="en-US" w:eastAsia="zh-CN" w:bidi="ar-SA"/>
    </w:rPr>
  </w:style>
  <w:style w:type="paragraph" w:customStyle="1" w:styleId="594">
    <w:name w:val="正文_0_2"/>
    <w:qFormat/>
    <w:uiPriority w:val="0"/>
    <w:pPr>
      <w:widowControl w:val="0"/>
      <w:jc w:val="both"/>
    </w:pPr>
    <w:rPr>
      <w:rFonts w:ascii="Calibri" w:hAnsi="Calibri" w:eastAsia="宋体" w:cs="Times New Roman"/>
      <w:sz w:val="21"/>
      <w:szCs w:val="22"/>
      <w:lang w:val="en-US" w:eastAsia="zh-CN" w:bidi="ar-SA"/>
    </w:rPr>
  </w:style>
  <w:style w:type="paragraph" w:customStyle="1" w:styleId="595">
    <w:name w:val="Normal_6_0"/>
    <w:qFormat/>
    <w:uiPriority w:val="0"/>
    <w:rPr>
      <w:rFonts w:ascii="黑体" w:hAnsi="黑体" w:eastAsia="黑体" w:cs="Times New Roman"/>
      <w:b/>
      <w:sz w:val="32"/>
      <w:szCs w:val="24"/>
      <w:lang w:val="en-US" w:eastAsia="zh-CN" w:bidi="ar-SA"/>
    </w:rPr>
  </w:style>
  <w:style w:type="paragraph" w:customStyle="1" w:styleId="596">
    <w:name w:val="Normal_7_0"/>
    <w:qFormat/>
    <w:uiPriority w:val="0"/>
    <w:pPr>
      <w:widowControl w:val="0"/>
      <w:jc w:val="both"/>
    </w:pPr>
    <w:rPr>
      <w:rFonts w:ascii="Calibri" w:hAnsi="Calibri" w:eastAsia="宋体" w:cs="Times New Roman"/>
      <w:sz w:val="21"/>
      <w:szCs w:val="22"/>
      <w:lang w:val="en-US" w:eastAsia="zh-CN" w:bidi="ar-SA"/>
    </w:rPr>
  </w:style>
  <w:style w:type="paragraph" w:customStyle="1" w:styleId="597">
    <w:name w:val="Normal_8_0"/>
    <w:qFormat/>
    <w:uiPriority w:val="0"/>
    <w:rPr>
      <w:rFonts w:ascii="黑体" w:hAnsi="黑体" w:eastAsia="黑体" w:cs="Times New Roman"/>
      <w:b/>
      <w:sz w:val="32"/>
      <w:szCs w:val="24"/>
      <w:lang w:val="en-US" w:eastAsia="zh-CN" w:bidi="ar-SA"/>
    </w:rPr>
  </w:style>
  <w:style w:type="paragraph" w:customStyle="1" w:styleId="598">
    <w:name w:val="Normal_9_0"/>
    <w:qFormat/>
    <w:uiPriority w:val="0"/>
    <w:rPr>
      <w:rFonts w:ascii="Times New Roman" w:hAnsi="Times New Roman" w:eastAsia="Times New Roman" w:cs="Times New Roman"/>
      <w:sz w:val="24"/>
      <w:szCs w:val="24"/>
      <w:lang w:val="en-US" w:eastAsia="zh-CN" w:bidi="ar-SA"/>
    </w:rPr>
  </w:style>
  <w:style w:type="paragraph" w:customStyle="1" w:styleId="599">
    <w:name w:val="Normal_10_0"/>
    <w:qFormat/>
    <w:uiPriority w:val="0"/>
    <w:rPr>
      <w:rFonts w:ascii="Times New Roman" w:hAnsi="Times New Roman" w:eastAsia="Times New Roman" w:cs="Times New Roman"/>
      <w:sz w:val="24"/>
      <w:szCs w:val="24"/>
      <w:lang w:val="en-US" w:eastAsia="zh-CN" w:bidi="ar-SA"/>
    </w:rPr>
  </w:style>
  <w:style w:type="paragraph" w:customStyle="1" w:styleId="600">
    <w:name w:val="Normal_11_0"/>
    <w:qFormat/>
    <w:uiPriority w:val="0"/>
    <w:rPr>
      <w:rFonts w:ascii="黑体" w:hAnsi="黑体" w:eastAsia="黑体" w:cs="Times New Roman"/>
      <w:b/>
      <w:sz w:val="32"/>
      <w:szCs w:val="24"/>
      <w:lang w:val="en-US" w:eastAsia="zh-CN" w:bidi="ar-SA"/>
    </w:rPr>
  </w:style>
  <w:style w:type="paragraph" w:customStyle="1" w:styleId="601">
    <w:name w:val="正文_1_1"/>
    <w:qFormat/>
    <w:uiPriority w:val="0"/>
    <w:pPr>
      <w:widowControl w:val="0"/>
      <w:jc w:val="both"/>
    </w:pPr>
    <w:rPr>
      <w:rFonts w:ascii="Calibri" w:hAnsi="Calibri" w:eastAsia="宋体" w:cs="Times New Roman"/>
      <w:sz w:val="21"/>
      <w:szCs w:val="22"/>
      <w:lang w:val="en-US" w:eastAsia="zh-CN" w:bidi="ar-SA"/>
    </w:rPr>
  </w:style>
  <w:style w:type="paragraph" w:customStyle="1" w:styleId="602">
    <w:name w:val="正文_2_0"/>
    <w:next w:val="1"/>
    <w:qFormat/>
    <w:uiPriority w:val="0"/>
    <w:pPr>
      <w:widowControl w:val="0"/>
      <w:jc w:val="both"/>
    </w:pPr>
    <w:rPr>
      <w:rFonts w:ascii="Calibri" w:hAnsi="Calibri" w:eastAsia="宋体" w:cs="Times New Roman"/>
      <w:sz w:val="21"/>
      <w:szCs w:val="22"/>
      <w:lang w:val="en-US" w:eastAsia="zh-CN" w:bidi="ar-SA"/>
    </w:rPr>
  </w:style>
  <w:style w:type="paragraph" w:customStyle="1" w:styleId="603">
    <w:name w:val="Normal_12_0"/>
    <w:qFormat/>
    <w:uiPriority w:val="0"/>
    <w:rPr>
      <w:rFonts w:ascii="黑体" w:hAnsi="黑体" w:eastAsia="黑体" w:cs="Times New Roman"/>
      <w:b/>
      <w:sz w:val="32"/>
      <w:szCs w:val="24"/>
      <w:lang w:val="en-US" w:eastAsia="zh-CN" w:bidi="ar-SA"/>
    </w:rPr>
  </w:style>
  <w:style w:type="paragraph" w:customStyle="1" w:styleId="604">
    <w:name w:val="Normal_13_0"/>
    <w:qFormat/>
    <w:uiPriority w:val="0"/>
    <w:pPr>
      <w:widowControl w:val="0"/>
      <w:jc w:val="both"/>
    </w:pPr>
    <w:rPr>
      <w:rFonts w:ascii="Calibri" w:hAnsi="Calibri" w:eastAsia="宋体" w:cs="Times New Roman"/>
      <w:sz w:val="21"/>
      <w:szCs w:val="22"/>
      <w:lang w:val="en-US" w:eastAsia="zh-CN" w:bidi="ar-SA"/>
    </w:rPr>
  </w:style>
  <w:style w:type="paragraph" w:customStyle="1" w:styleId="605">
    <w:name w:val="正文_9_0"/>
    <w:qFormat/>
    <w:uiPriority w:val="0"/>
    <w:pPr>
      <w:widowControl w:val="0"/>
      <w:jc w:val="both"/>
    </w:pPr>
    <w:rPr>
      <w:rFonts w:ascii="Calibri" w:hAnsi="Calibri" w:eastAsia="宋体" w:cs="Times New Roman"/>
      <w:sz w:val="21"/>
      <w:szCs w:val="22"/>
      <w:lang w:val="en-US" w:eastAsia="zh-CN" w:bidi="ar-SA"/>
    </w:rPr>
  </w:style>
  <w:style w:type="paragraph" w:customStyle="1" w:styleId="606">
    <w:name w:val="正文_8_1"/>
    <w:qFormat/>
    <w:uiPriority w:val="0"/>
    <w:pPr>
      <w:widowControl w:val="0"/>
      <w:jc w:val="both"/>
    </w:pPr>
    <w:rPr>
      <w:rFonts w:ascii="Calibri" w:hAnsi="Calibri" w:eastAsia="宋体" w:cs="Times New Roman"/>
      <w:sz w:val="21"/>
      <w:szCs w:val="22"/>
      <w:lang w:val="en-US" w:eastAsia="zh-CN" w:bidi="ar-SA"/>
    </w:rPr>
  </w:style>
  <w:style w:type="paragraph" w:customStyle="1" w:styleId="607">
    <w:name w:val="正文_1_0_0_0_0"/>
    <w:qFormat/>
    <w:uiPriority w:val="0"/>
    <w:pPr>
      <w:widowControl w:val="0"/>
      <w:jc w:val="both"/>
    </w:pPr>
    <w:rPr>
      <w:rFonts w:ascii="Times New Roman" w:hAnsi="Times New Roman" w:eastAsia="宋体" w:cs="Times New Roman"/>
      <w:sz w:val="21"/>
      <w:lang w:val="en-US" w:eastAsia="zh-CN" w:bidi="ar-SA"/>
    </w:rPr>
  </w:style>
  <w:style w:type="paragraph" w:customStyle="1" w:styleId="608">
    <w:name w:val="列出段落_2"/>
    <w:basedOn w:val="606"/>
    <w:qFormat/>
    <w:uiPriority w:val="34"/>
    <w:pPr>
      <w:ind w:firstLine="420"/>
    </w:pPr>
  </w:style>
  <w:style w:type="paragraph" w:customStyle="1" w:styleId="609">
    <w:name w:val="Normal_14_0"/>
    <w:qFormat/>
    <w:uiPriority w:val="0"/>
    <w:rPr>
      <w:rFonts w:ascii="黑体" w:hAnsi="黑体" w:eastAsia="黑体" w:cs="Times New Roman"/>
      <w:b/>
      <w:sz w:val="32"/>
      <w:szCs w:val="24"/>
      <w:lang w:val="en-US" w:eastAsia="zh-CN" w:bidi="ar-SA"/>
    </w:rPr>
  </w:style>
  <w:style w:type="paragraph" w:customStyle="1" w:styleId="610">
    <w:name w:val="正文_7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11">
    <w:name w:val="正文缩进_0_0"/>
    <w:basedOn w:val="610"/>
    <w:link w:val="612"/>
    <w:unhideWhenUsed/>
    <w:qFormat/>
    <w:uiPriority w:val="0"/>
    <w:pPr>
      <w:ind w:firstLine="420"/>
    </w:pPr>
    <w:rPr>
      <w:rFonts w:ascii="Calibri" w:hAnsi="Calibri"/>
      <w:szCs w:val="22"/>
    </w:rPr>
  </w:style>
  <w:style w:type="character" w:customStyle="1" w:styleId="612">
    <w:name w:val="正文缩进 Char1_0_0"/>
    <w:link w:val="611"/>
    <w:qFormat/>
    <w:uiPriority w:val="0"/>
    <w:rPr>
      <w:sz w:val="21"/>
      <w:szCs w:val="22"/>
    </w:rPr>
  </w:style>
  <w:style w:type="paragraph" w:customStyle="1" w:styleId="613">
    <w:name w:val="纯文本_0_0"/>
    <w:basedOn w:val="614"/>
    <w:link w:val="615"/>
    <w:unhideWhenUsed/>
    <w:qFormat/>
    <w:uiPriority w:val="0"/>
    <w:rPr>
      <w:rFonts w:ascii="宋体" w:hAnsi="Courier New"/>
      <w:szCs w:val="21"/>
    </w:rPr>
  </w:style>
  <w:style w:type="paragraph" w:customStyle="1" w:styleId="614">
    <w:name w:val="正文_7_1_0"/>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615">
    <w:name w:val="纯文本 Char_0_0"/>
    <w:link w:val="613"/>
    <w:qFormat/>
    <w:uiPriority w:val="0"/>
    <w:rPr>
      <w:rFonts w:ascii="宋体" w:hAnsi="Courier New"/>
      <w:sz w:val="21"/>
      <w:szCs w:val="21"/>
    </w:rPr>
  </w:style>
  <w:style w:type="paragraph" w:customStyle="1" w:styleId="616">
    <w:name w:val="Normal_15_0"/>
    <w:qFormat/>
    <w:uiPriority w:val="0"/>
    <w:rPr>
      <w:rFonts w:ascii="黑体" w:hAnsi="黑体" w:eastAsia="黑体" w:cs="Times New Roman"/>
      <w:b/>
      <w:sz w:val="32"/>
      <w:szCs w:val="24"/>
      <w:lang w:val="en-US" w:eastAsia="zh-CN" w:bidi="ar-SA"/>
    </w:rPr>
  </w:style>
  <w:style w:type="paragraph" w:customStyle="1" w:styleId="617">
    <w:name w:val="正文_8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18">
    <w:name w:val="Normal_16_0"/>
    <w:qFormat/>
    <w:uiPriority w:val="0"/>
    <w:rPr>
      <w:rFonts w:ascii="黑体" w:hAnsi="黑体" w:eastAsia="黑体" w:cs="Times New Roman"/>
      <w:b/>
      <w:sz w:val="32"/>
      <w:szCs w:val="24"/>
      <w:lang w:val="en-US" w:eastAsia="zh-CN" w:bidi="ar-SA"/>
    </w:rPr>
  </w:style>
  <w:style w:type="paragraph" w:customStyle="1" w:styleId="619">
    <w:name w:val="正文_5_0"/>
    <w:qFormat/>
    <w:uiPriority w:val="0"/>
    <w:pPr>
      <w:widowControl w:val="0"/>
      <w:jc w:val="both"/>
    </w:pPr>
    <w:rPr>
      <w:rFonts w:ascii="Calibri" w:hAnsi="Calibri" w:eastAsia="宋体" w:cs="Times New Roman"/>
      <w:sz w:val="21"/>
      <w:szCs w:val="22"/>
      <w:lang w:val="en-US" w:eastAsia="zh-CN" w:bidi="ar-SA"/>
    </w:rPr>
  </w:style>
  <w:style w:type="paragraph" w:customStyle="1" w:styleId="620">
    <w:name w:val="正文_9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1">
    <w:name w:val="Normal_17_0"/>
    <w:qFormat/>
    <w:uiPriority w:val="0"/>
    <w:rPr>
      <w:rFonts w:ascii="黑体" w:hAnsi="黑体" w:eastAsia="黑体" w:cs="Times New Roman"/>
      <w:b/>
      <w:sz w:val="32"/>
      <w:szCs w:val="24"/>
      <w:lang w:val="en-US" w:eastAsia="zh-CN" w:bidi="ar-SA"/>
    </w:rPr>
  </w:style>
  <w:style w:type="paragraph" w:customStyle="1" w:styleId="622">
    <w:name w:val="正文_1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3">
    <w:name w:val="Normal_18_0"/>
    <w:qFormat/>
    <w:uiPriority w:val="0"/>
    <w:rPr>
      <w:rFonts w:ascii="黑体" w:hAnsi="黑体" w:eastAsia="黑体" w:cs="Times New Roman"/>
      <w:b/>
      <w:sz w:val="32"/>
      <w:szCs w:val="24"/>
      <w:lang w:val="en-US" w:eastAsia="zh-CN" w:bidi="ar-SA"/>
    </w:rPr>
  </w:style>
  <w:style w:type="paragraph" w:customStyle="1" w:styleId="624">
    <w:name w:val="正文_1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5">
    <w:name w:val="Normal_19_0"/>
    <w:basedOn w:val="6"/>
    <w:next w:val="626"/>
    <w:qFormat/>
    <w:uiPriority w:val="0"/>
    <w:rPr>
      <w:rFonts w:ascii="黑体" w:hAnsi="黑体" w:eastAsia="黑体"/>
      <w:b/>
      <w:sz w:val="32"/>
    </w:rPr>
  </w:style>
  <w:style w:type="paragraph" w:customStyle="1" w:styleId="626">
    <w:name w:val="Body Text First Indent_1_0"/>
    <w:basedOn w:val="625"/>
    <w:qFormat/>
    <w:uiPriority w:val="0"/>
    <w:pPr>
      <w:spacing w:after="120"/>
      <w:ind w:firstLine="100" w:firstLineChars="100"/>
    </w:pPr>
  </w:style>
  <w:style w:type="paragraph" w:customStyle="1" w:styleId="627">
    <w:name w:val="Body Text_0"/>
    <w:basedOn w:val="625"/>
    <w:unhideWhenUsed/>
    <w:qFormat/>
    <w:uiPriority w:val="99"/>
    <w:pPr>
      <w:spacing w:after="120"/>
    </w:pPr>
    <w:rPr>
      <w:rFonts w:ascii="Calibri" w:hAnsi="Calibri"/>
      <w:sz w:val="20"/>
    </w:rPr>
  </w:style>
  <w:style w:type="paragraph" w:customStyle="1" w:styleId="628">
    <w:name w:val="正文_12_0"/>
    <w:qFormat/>
    <w:uiPriority w:val="0"/>
    <w:pPr>
      <w:widowControl w:val="0"/>
      <w:jc w:val="both"/>
    </w:pPr>
    <w:rPr>
      <w:rFonts w:ascii="Calibri" w:hAnsi="Calibri" w:eastAsia="宋体" w:cs="Times New Roman"/>
      <w:sz w:val="21"/>
      <w:szCs w:val="22"/>
      <w:lang w:val="en-US" w:eastAsia="zh-CN" w:bidi="ar-SA"/>
    </w:rPr>
  </w:style>
  <w:style w:type="paragraph" w:customStyle="1" w:styleId="629">
    <w:name w:val="正文_9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0">
    <w:name w:val="Normal_14_0_0"/>
    <w:qFormat/>
    <w:uiPriority w:val="0"/>
    <w:rPr>
      <w:rFonts w:ascii="黑体" w:hAnsi="黑体" w:eastAsia="黑体" w:cs="Times New Roman"/>
      <w:b/>
      <w:sz w:val="32"/>
      <w:szCs w:val="24"/>
      <w:lang w:val="en-US" w:eastAsia="zh-CN" w:bidi="ar-SA"/>
    </w:rPr>
  </w:style>
  <w:style w:type="paragraph" w:customStyle="1" w:styleId="631">
    <w:name w:val="正文_12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2">
    <w:name w:val="Normal_20"/>
    <w:next w:val="633"/>
    <w:qFormat/>
    <w:uiPriority w:val="0"/>
    <w:rPr>
      <w:rFonts w:ascii="黑体" w:hAnsi="黑体" w:eastAsia="黑体" w:cs="Times New Roman"/>
      <w:b/>
      <w:sz w:val="32"/>
      <w:szCs w:val="24"/>
      <w:lang w:val="en-US" w:eastAsia="zh-CN" w:bidi="ar-SA"/>
    </w:rPr>
  </w:style>
  <w:style w:type="paragraph" w:customStyle="1" w:styleId="633">
    <w:name w:val="正文文本首行缩进 22"/>
    <w:basedOn w:val="634"/>
    <w:qFormat/>
    <w:uiPriority w:val="0"/>
    <w:pPr>
      <w:spacing w:after="120"/>
      <w:ind w:left="200" w:firstLine="200"/>
    </w:pPr>
    <w:rPr>
      <w:rFonts w:ascii="Times New Roman" w:hAnsi="Times New Roman"/>
      <w:sz w:val="24"/>
    </w:rPr>
  </w:style>
  <w:style w:type="paragraph" w:customStyle="1" w:styleId="634">
    <w:name w:val="正文文本缩进2"/>
    <w:basedOn w:val="632"/>
    <w:qFormat/>
    <w:uiPriority w:val="0"/>
    <w:pPr>
      <w:ind w:firstLine="225"/>
    </w:pPr>
    <w:rPr>
      <w:rFonts w:ascii="仿宋_GB2312" w:eastAsia="仿宋_GB2312"/>
    </w:rPr>
  </w:style>
  <w:style w:type="paragraph" w:customStyle="1" w:styleId="635">
    <w:name w:val="正文_13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6">
    <w:name w:val="正文_14_0"/>
    <w:qFormat/>
    <w:uiPriority w:val="0"/>
    <w:pPr>
      <w:widowControl w:val="0"/>
      <w:jc w:val="both"/>
    </w:pPr>
    <w:rPr>
      <w:rFonts w:ascii="Calibri" w:hAnsi="Calibri" w:eastAsia="宋体" w:cs="Times New Roman"/>
      <w:sz w:val="21"/>
      <w:szCs w:val="22"/>
      <w:lang w:val="en-US" w:eastAsia="zh-CN" w:bidi="ar-SA"/>
    </w:rPr>
  </w:style>
  <w:style w:type="paragraph" w:customStyle="1" w:styleId="637">
    <w:name w:val="Normal_21"/>
    <w:qFormat/>
    <w:uiPriority w:val="0"/>
    <w:rPr>
      <w:rFonts w:ascii="黑体" w:hAnsi="黑体" w:eastAsia="黑体" w:cs="Times New Roman"/>
      <w:b/>
      <w:sz w:val="32"/>
      <w:szCs w:val="24"/>
      <w:lang w:val="en-US" w:eastAsia="zh-CN" w:bidi="ar-SA"/>
    </w:rPr>
  </w:style>
  <w:style w:type="paragraph" w:customStyle="1" w:styleId="638">
    <w:name w:val="正文_15_0"/>
    <w:qFormat/>
    <w:uiPriority w:val="0"/>
    <w:pPr>
      <w:widowControl w:val="0"/>
      <w:jc w:val="both"/>
    </w:pPr>
    <w:rPr>
      <w:rFonts w:ascii="Calibri" w:hAnsi="Calibri" w:eastAsia="宋体" w:cs="Times New Roman"/>
      <w:sz w:val="21"/>
      <w:szCs w:val="22"/>
      <w:lang w:val="en-US" w:eastAsia="zh-CN" w:bidi="ar-SA"/>
    </w:rPr>
  </w:style>
  <w:style w:type="paragraph" w:customStyle="1" w:styleId="639">
    <w:name w:val="Normal_0_2"/>
    <w:qFormat/>
    <w:uiPriority w:val="0"/>
    <w:rPr>
      <w:rFonts w:ascii="黑体" w:hAnsi="黑体" w:eastAsia="黑体" w:cs="Times New Roman"/>
      <w:b/>
      <w:sz w:val="32"/>
      <w:szCs w:val="24"/>
      <w:lang w:val="en-US" w:eastAsia="zh-CN" w:bidi="ar-SA"/>
    </w:rPr>
  </w:style>
  <w:style w:type="paragraph" w:customStyle="1" w:styleId="640">
    <w:name w:val="Normal_1_2"/>
    <w:qFormat/>
    <w:uiPriority w:val="0"/>
    <w:rPr>
      <w:rFonts w:ascii="Times New Roman" w:hAnsi="Times New Roman" w:eastAsia="Times New Roman" w:cs="Times New Roman"/>
      <w:sz w:val="24"/>
      <w:szCs w:val="24"/>
      <w:lang w:val="en-US" w:eastAsia="zh-CN" w:bidi="ar-SA"/>
    </w:rPr>
  </w:style>
  <w:style w:type="paragraph" w:customStyle="1" w:styleId="641">
    <w:name w:val="Normal_0_3"/>
    <w:qFormat/>
    <w:uiPriority w:val="0"/>
    <w:rPr>
      <w:rFonts w:ascii="黑体" w:hAnsi="黑体" w:eastAsia="黑体" w:cs="Times New Roman"/>
      <w:b/>
      <w:sz w:val="32"/>
      <w:szCs w:val="24"/>
      <w:lang w:val="en-US" w:eastAsia="zh-CN" w:bidi="ar-SA"/>
    </w:rPr>
  </w:style>
  <w:style w:type="paragraph" w:customStyle="1" w:styleId="642">
    <w:name w:val="正文_17"/>
    <w:qFormat/>
    <w:uiPriority w:val="0"/>
    <w:pPr>
      <w:widowControl w:val="0"/>
      <w:jc w:val="both"/>
    </w:pPr>
    <w:rPr>
      <w:rFonts w:ascii="Calibri" w:hAnsi="Calibri" w:eastAsia="宋体" w:cs="Times New Roman"/>
      <w:sz w:val="21"/>
      <w:szCs w:val="22"/>
      <w:lang w:val="en-US" w:eastAsia="zh-CN" w:bidi="ar-SA"/>
    </w:rPr>
  </w:style>
  <w:style w:type="paragraph" w:customStyle="1" w:styleId="643">
    <w:name w:val="正文缩进1"/>
    <w:basedOn w:val="1"/>
    <w:qFormat/>
    <w:uiPriority w:val="0"/>
    <w:pPr>
      <w:ind w:firstLine="420"/>
      <w:jc w:val="left"/>
    </w:pPr>
    <w:rPr>
      <w:rFonts w:ascii="宋体"/>
      <w:sz w:val="24"/>
    </w:rPr>
  </w:style>
  <w:style w:type="paragraph" w:customStyle="1" w:styleId="644">
    <w:name w:val="索引 11"/>
    <w:basedOn w:val="1"/>
    <w:next w:val="1"/>
    <w:qFormat/>
    <w:uiPriority w:val="0"/>
    <w:pPr>
      <w:spacing w:line="360" w:lineRule="auto"/>
    </w:pPr>
    <w:rPr>
      <w:rFonts w:ascii="仿宋_GB2312" w:eastAsia="仿宋_GB2312"/>
      <w:sz w:val="24"/>
      <w:szCs w:val="20"/>
    </w:rPr>
  </w:style>
  <w:style w:type="paragraph" w:customStyle="1" w:styleId="645">
    <w:name w:val="纯文本1"/>
    <w:basedOn w:val="580"/>
    <w:qFormat/>
    <w:uiPriority w:val="0"/>
    <w:rPr>
      <w:rFonts w:ascii="宋体" w:hAnsi="Courier New"/>
    </w:rPr>
  </w:style>
  <w:style w:type="paragraph" w:customStyle="1" w:styleId="646">
    <w:name w:val="Normal_20_0_0"/>
    <w:next w:val="1"/>
    <w:qFormat/>
    <w:uiPriority w:val="0"/>
    <w:pPr>
      <w:widowControl w:val="0"/>
      <w:spacing w:line="360" w:lineRule="auto"/>
      <w:jc w:val="both"/>
    </w:pPr>
    <w:rPr>
      <w:rFonts w:ascii="Arial" w:hAnsi="Arial" w:eastAsia="宋体" w:cs="Times New Roman"/>
      <w:sz w:val="28"/>
      <w:szCs w:val="28"/>
      <w:lang w:val="en-US" w:eastAsia="zh-CN" w:bidi="ar-SA"/>
    </w:rPr>
  </w:style>
  <w:style w:type="paragraph" w:customStyle="1" w:styleId="647">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648">
    <w:name w:val="正文缩进1_0"/>
    <w:basedOn w:val="647"/>
    <w:link w:val="649"/>
    <w:qFormat/>
    <w:uiPriority w:val="0"/>
    <w:pPr>
      <w:ind w:firstLine="420"/>
      <w:jc w:val="left"/>
    </w:pPr>
    <w:rPr>
      <w:rFonts w:ascii="宋体" w:hAnsi="Calibri" w:eastAsia="Times New Roman"/>
      <w:sz w:val="24"/>
      <w:szCs w:val="22"/>
    </w:rPr>
  </w:style>
  <w:style w:type="character" w:customStyle="1" w:styleId="649">
    <w:name w:val="正文缩进 Char1_1"/>
    <w:link w:val="648"/>
    <w:qFormat/>
    <w:uiPriority w:val="0"/>
    <w:rPr>
      <w:rFonts w:ascii="宋体" w:hAnsi="Calibri" w:eastAsia="Times New Roman"/>
      <w:sz w:val="24"/>
      <w:szCs w:val="22"/>
    </w:rPr>
  </w:style>
  <w:style w:type="paragraph" w:customStyle="1" w:styleId="650">
    <w:name w:val="无间隔1_0"/>
    <w:qFormat/>
    <w:uiPriority w:val="1"/>
    <w:pPr>
      <w:widowControl w:val="0"/>
      <w:jc w:val="both"/>
    </w:pPr>
    <w:rPr>
      <w:rFonts w:ascii="Times New Roman" w:hAnsi="Times New Roman" w:eastAsia="宋体" w:cs="Times New Roman"/>
      <w:szCs w:val="24"/>
      <w:lang w:val="en-US" w:eastAsia="zh-CN" w:bidi="ar-SA"/>
    </w:rPr>
  </w:style>
  <w:style w:type="paragraph" w:customStyle="1" w:styleId="651">
    <w:name w:val="Normal_22"/>
    <w:qFormat/>
    <w:uiPriority w:val="0"/>
    <w:pPr>
      <w:widowControl w:val="0"/>
      <w:jc w:val="both"/>
    </w:pPr>
    <w:rPr>
      <w:rFonts w:ascii="Times New Roman" w:hAnsi="Times New Roman" w:eastAsia="宋体" w:cs="Times New Roman"/>
      <w:szCs w:val="24"/>
      <w:lang w:val="en-US" w:eastAsia="zh-CN" w:bidi="ar-SA"/>
    </w:rPr>
  </w:style>
  <w:style w:type="character" w:customStyle="1" w:styleId="652">
    <w:name w:val="未处理的提及1"/>
    <w:unhideWhenUsed/>
    <w:qFormat/>
    <w:uiPriority w:val="99"/>
    <w:rPr>
      <w:color w:val="605E5C"/>
      <w:shd w:val="clear" w:color="auto" w:fill="E1DFDD"/>
    </w:rPr>
  </w:style>
  <w:style w:type="character" w:customStyle="1" w:styleId="653">
    <w:name w:val="未处理的提及2"/>
    <w:unhideWhenUsed/>
    <w:qFormat/>
    <w:uiPriority w:val="99"/>
    <w:rPr>
      <w:color w:val="605E5C"/>
      <w:shd w:val="clear" w:color="auto" w:fill="E1DFDD"/>
    </w:rPr>
  </w:style>
  <w:style w:type="paragraph" w:customStyle="1" w:styleId="654">
    <w:name w:val="正文_4_0"/>
    <w:qFormat/>
    <w:uiPriority w:val="0"/>
    <w:pPr>
      <w:widowControl w:val="0"/>
      <w:jc w:val="both"/>
    </w:pPr>
    <w:rPr>
      <w:rFonts w:ascii="Calibri" w:hAnsi="Calibri" w:eastAsia="宋体" w:cs="Times New Roman"/>
      <w:sz w:val="21"/>
      <w:szCs w:val="22"/>
      <w:lang w:val="en-US" w:eastAsia="zh-CN" w:bidi="ar-SA"/>
    </w:rPr>
  </w:style>
  <w:style w:type="paragraph" w:customStyle="1" w:styleId="655">
    <w:name w:val="正文_12_0_0_0"/>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656">
    <w:name w:val="10"/>
    <w:qFormat/>
    <w:uiPriority w:val="0"/>
    <w:rPr>
      <w:rFonts w:ascii="Times New Roman" w:hAnsi="Times New Roman" w:cs="Times New Roman"/>
    </w:rPr>
  </w:style>
  <w:style w:type="paragraph" w:customStyle="1" w:styleId="657">
    <w:name w:val="正文文本2"/>
    <w:basedOn w:val="7"/>
    <w:qFormat/>
    <w:uiPriority w:val="1"/>
    <w:rPr>
      <w:rFonts w:ascii="Segoe UI" w:hAnsi="Segoe UI" w:cs="Segoe UI"/>
    </w:rPr>
  </w:style>
  <w:style w:type="paragraph" w:customStyle="1" w:styleId="658">
    <w:name w:val="正文_16_0"/>
    <w:basedOn w:val="578"/>
    <w:qFormat/>
    <w:uiPriority w:val="0"/>
  </w:style>
  <w:style w:type="paragraph" w:customStyle="1" w:styleId="659">
    <w:name w:val="Normal_16_0_0"/>
    <w:qFormat/>
    <w:uiPriority w:val="0"/>
    <w:pPr>
      <w:widowControl w:val="0"/>
      <w:jc w:val="both"/>
    </w:pPr>
    <w:rPr>
      <w:rFonts w:ascii="Calibri" w:hAnsi="Calibri" w:eastAsia="宋体" w:cs="Times New Roman"/>
      <w:sz w:val="21"/>
      <w:szCs w:val="22"/>
      <w:lang w:val="en-US" w:eastAsia="zh-CN" w:bidi="ar-SA"/>
    </w:rPr>
  </w:style>
  <w:style w:type="paragraph" w:customStyle="1" w:styleId="660">
    <w:name w:val="Normal_22_0"/>
    <w:qFormat/>
    <w:uiPriority w:val="0"/>
    <w:pPr>
      <w:widowControl w:val="0"/>
      <w:jc w:val="both"/>
    </w:pPr>
    <w:rPr>
      <w:rFonts w:ascii="Calibri" w:hAnsi="Calibri" w:eastAsia="宋体" w:cs="Times New Roman"/>
      <w:sz w:val="21"/>
      <w:szCs w:val="24"/>
      <w:lang w:val="en-US" w:eastAsia="zh-CN" w:bidi="ar-SA"/>
    </w:rPr>
  </w:style>
  <w:style w:type="paragraph" w:customStyle="1" w:styleId="661">
    <w:name w:val="Normal_19_0_1"/>
    <w:qFormat/>
    <w:uiPriority w:val="0"/>
    <w:rPr>
      <w:rFonts w:ascii="Tahoma" w:hAnsi="Tahoma" w:eastAsia="微软雅黑" w:cs="Times New Roman"/>
      <w:lang w:val="en-US" w:eastAsia="zh-CN" w:bidi="ar-SA"/>
    </w:rPr>
  </w:style>
  <w:style w:type="paragraph" w:customStyle="1" w:styleId="662">
    <w:name w:val="正文_2_0_0"/>
    <w:qFormat/>
    <w:uiPriority w:val="0"/>
    <w:pPr>
      <w:widowControl w:val="0"/>
      <w:jc w:val="both"/>
    </w:pPr>
    <w:rPr>
      <w:rFonts w:ascii="Calibri" w:hAnsi="Calibri" w:eastAsia="宋体" w:cs="Times New Roman"/>
      <w:sz w:val="21"/>
      <w:szCs w:val="22"/>
      <w:lang w:val="en-US" w:eastAsia="zh-CN" w:bidi="ar-SA"/>
    </w:rPr>
  </w:style>
  <w:style w:type="paragraph" w:customStyle="1" w:styleId="663">
    <w:name w:val="正文_16_0_0_0"/>
    <w:basedOn w:val="664"/>
    <w:qFormat/>
    <w:uiPriority w:val="0"/>
    <w:rPr>
      <w:rFonts w:ascii="Calibri" w:hAnsi="Calibri" w:cs="Calibri"/>
      <w:szCs w:val="21"/>
    </w:rPr>
  </w:style>
  <w:style w:type="paragraph" w:customStyle="1" w:styleId="664">
    <w:name w:val="正文_3_0"/>
    <w:qFormat/>
    <w:uiPriority w:val="0"/>
    <w:pPr>
      <w:widowControl w:val="0"/>
      <w:jc w:val="both"/>
    </w:pPr>
    <w:rPr>
      <w:rFonts w:ascii="Times New Roman" w:hAnsi="Times New Roman" w:eastAsia="宋体" w:cs="Times New Roman"/>
      <w:sz w:val="21"/>
      <w:lang w:val="en-US" w:eastAsia="zh-CN" w:bidi="ar-SA"/>
    </w:rPr>
  </w:style>
  <w:style w:type="character" w:customStyle="1" w:styleId="665">
    <w:name w:val="15"/>
    <w:qFormat/>
    <w:uiPriority w:val="0"/>
    <w:rPr>
      <w:rFonts w:ascii="Times New Roman" w:hAnsi="Times New Roman" w:cs="Times New Roman"/>
      <w:color w:val="0000FF"/>
      <w:u w:val="single"/>
    </w:rPr>
  </w:style>
  <w:style w:type="character" w:customStyle="1" w:styleId="666">
    <w:name w:val="16_0"/>
    <w:qFormat/>
    <w:uiPriority w:val="0"/>
    <w:rPr>
      <w:rFonts w:ascii="Times New Roman" w:hAnsi="Times New Roman" w:cs="Times New Roman"/>
    </w:rPr>
  </w:style>
  <w:style w:type="paragraph" w:customStyle="1" w:styleId="667">
    <w:name w:val="正文_16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68">
    <w:name w:val="正文空2字"/>
    <w:basedOn w:val="1"/>
    <w:qFormat/>
    <w:uiPriority w:val="99"/>
    <w:pPr>
      <w:spacing w:line="560" w:lineRule="exact"/>
      <w:ind w:firstLine="640"/>
      <w:jc w:val="left"/>
    </w:pPr>
    <w:rPr>
      <w:rFonts w:ascii="仿宋_GB2312" w:hAnsi="仿宋_GB2312" w:eastAsia="仿宋_GB2312" w:cs="仿宋_GB2312"/>
      <w:sz w:val="32"/>
      <w:szCs w:val="32"/>
      <w:lang w:val="zh-TW"/>
    </w:rPr>
  </w:style>
  <w:style w:type="character" w:customStyle="1" w:styleId="669">
    <w:name w:val="未处理的提及3"/>
    <w:unhideWhenUsed/>
    <w:qFormat/>
    <w:uiPriority w:val="99"/>
    <w:rPr>
      <w:color w:val="605E5C"/>
      <w:shd w:val="clear" w:color="auto" w:fill="E1DFDD"/>
    </w:rPr>
  </w:style>
  <w:style w:type="character" w:customStyle="1" w:styleId="670">
    <w:name w:val="正文文本首行缩进 2 字符1"/>
    <w:semiHidden/>
    <w:qFormat/>
    <w:uiPriority w:val="99"/>
    <w:rPr>
      <w:rFonts w:ascii="Calibri" w:hAnsi="Calibri"/>
      <w:sz w:val="21"/>
      <w:szCs w:val="22"/>
    </w:rPr>
  </w:style>
  <w:style w:type="paragraph" w:customStyle="1" w:styleId="671">
    <w:name w:val="Normal_20_0"/>
    <w:qFormat/>
    <w:uiPriority w:val="0"/>
    <w:pPr>
      <w:widowControl w:val="0"/>
      <w:jc w:val="both"/>
    </w:pPr>
    <w:rPr>
      <w:rFonts w:ascii="Calibri" w:hAnsi="Calibri" w:eastAsia="宋体" w:cs="Times New Roman"/>
      <w:lang w:val="en-US" w:eastAsia="zh-CN" w:bidi="ar-SA"/>
    </w:rPr>
  </w:style>
  <w:style w:type="paragraph" w:customStyle="1" w:styleId="672">
    <w:name w:val="正文_12_0_0_0_0"/>
    <w:basedOn w:val="1"/>
    <w:qFormat/>
    <w:uiPriority w:val="0"/>
    <w:rPr>
      <w:rFonts w:ascii="Times New Roman" w:hAnsi="Times New Roman"/>
      <w:szCs w:val="24"/>
    </w:rPr>
  </w:style>
  <w:style w:type="paragraph" w:customStyle="1" w:styleId="673">
    <w:name w:val="正文_14_0_0"/>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674">
    <w:name w:val="custom-tag-placeholder-class"/>
    <w:qFormat/>
    <w:uiPriority w:val="0"/>
  </w:style>
  <w:style w:type="paragraph" w:customStyle="1" w:styleId="675">
    <w:name w:val="正文缩进_1_0_0"/>
    <w:basedOn w:val="676"/>
    <w:qFormat/>
    <w:uiPriority w:val="0"/>
    <w:pPr>
      <w:ind w:firstLine="420"/>
    </w:pPr>
    <w:rPr>
      <w:rFonts w:ascii="宋体"/>
      <w:color w:val="000000"/>
      <w:sz w:val="24"/>
      <w:szCs w:val="20"/>
    </w:rPr>
  </w:style>
  <w:style w:type="paragraph" w:customStyle="1" w:styleId="676">
    <w:name w:val="正文_2_0_1"/>
    <w:next w:val="675"/>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77">
    <w:name w:val="表内文字居中_0"/>
    <w:qFormat/>
    <w:uiPriority w:val="0"/>
    <w:pPr>
      <w:jc w:val="center"/>
    </w:pPr>
    <w:rPr>
      <w:rFonts w:ascii="Times New Roman" w:hAnsi="Times New Roman" w:eastAsia="宋体" w:cs="Times New Roman"/>
      <w:sz w:val="24"/>
      <w:szCs w:val="24"/>
      <w:lang w:val="en-US" w:eastAsia="zh-CN" w:bidi="ar-SA"/>
    </w:rPr>
  </w:style>
  <w:style w:type="paragraph" w:customStyle="1" w:styleId="678">
    <w:name w:val="正文_16_0_0"/>
    <w:next w:val="647"/>
    <w:qFormat/>
    <w:uiPriority w:val="0"/>
    <w:pPr>
      <w:widowControl w:val="0"/>
      <w:jc w:val="both"/>
    </w:pPr>
    <w:rPr>
      <w:rFonts w:ascii="Calibri" w:hAnsi="Calibri" w:eastAsia="宋体" w:cs="Times New Roman"/>
      <w:sz w:val="21"/>
      <w:szCs w:val="22"/>
      <w:lang w:val="en-US" w:eastAsia="zh-CN" w:bidi="ar-SA"/>
    </w:rPr>
  </w:style>
  <w:style w:type="character" w:customStyle="1" w:styleId="679">
    <w:name w:val="批注框文本 字符"/>
    <w:basedOn w:val="43"/>
    <w:link w:val="27"/>
    <w:semiHidden/>
    <w:qFormat/>
    <w:uiPriority w:val="99"/>
    <w:rPr>
      <w:rFonts w:ascii="宋体" w:hAnsi="Calibri"/>
      <w:sz w:val="18"/>
      <w:szCs w:val="18"/>
    </w:rPr>
  </w:style>
  <w:style w:type="character" w:customStyle="1" w:styleId="680">
    <w:name w:val="标题 1 字符2"/>
    <w:link w:val="2"/>
    <w:qFormat/>
    <w:uiPriority w:val="9"/>
    <w:rPr>
      <w:rFonts w:ascii="Arial" w:hAnsi="Arial" w:eastAsia="Arial" w:cs="Arial"/>
      <w:sz w:val="40"/>
      <w:szCs w:val="40"/>
    </w:rPr>
  </w:style>
  <w:style w:type="paragraph" w:customStyle="1" w:styleId="681">
    <w:name w:val="Normal_19_0_0"/>
    <w:next w:val="1"/>
    <w:qFormat/>
    <w:uiPriority w:val="0"/>
    <w:pPr>
      <w:widowControl w:val="0"/>
      <w:spacing w:line="360" w:lineRule="auto"/>
      <w:ind w:firstLine="200"/>
      <w:jc w:val="both"/>
    </w:pPr>
    <w:rPr>
      <w:rFonts w:ascii="Calibri" w:hAnsi="Calibri" w:eastAsia="宋体" w:cs="Times New Roman"/>
      <w:sz w:val="24"/>
      <w:lang w:val="en-US" w:eastAsia="zh-CN" w:bidi="ar-SA"/>
    </w:rPr>
  </w:style>
  <w:style w:type="paragraph" w:customStyle="1" w:styleId="682">
    <w:name w:val="Body Text_0_0"/>
    <w:basedOn w:val="681"/>
    <w:unhideWhenUsed/>
    <w:qFormat/>
    <w:uiPriority w:val="99"/>
    <w:pPr>
      <w:spacing w:after="120"/>
    </w:pPr>
    <w:rPr>
      <w:sz w:val="20"/>
    </w:rPr>
  </w:style>
  <w:style w:type="paragraph" w:customStyle="1" w:styleId="683">
    <w:name w:val="*正文"/>
    <w:basedOn w:val="1"/>
    <w:qFormat/>
    <w:uiPriority w:val="0"/>
    <w:pPr>
      <w:spacing w:line="360" w:lineRule="auto"/>
      <w:ind w:firstLine="560"/>
    </w:pPr>
    <w:rPr>
      <w:rFonts w:ascii="方正仿宋_GB2312" w:hAnsi="Times New Roman" w:eastAsia="方正仿宋_GB2312"/>
      <w:sz w:val="28"/>
      <w:szCs w:val="28"/>
    </w:rPr>
  </w:style>
  <w:style w:type="paragraph" w:customStyle="1" w:styleId="684">
    <w:name w:val="Normal_21_0"/>
    <w:next w:val="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85">
    <w:name w:val="正文3"/>
    <w:next w:val="77"/>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6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87">
    <w:name w:val="p17_0_0"/>
    <w:basedOn w:val="625"/>
    <w:qFormat/>
    <w:uiPriority w:val="0"/>
    <w:pPr>
      <w:spacing w:before="100" w:beforeAutospacing="1" w:after="100" w:afterAutospacing="1"/>
    </w:pPr>
    <w:rPr>
      <w:rFonts w:ascii="宋体" w:hAnsi="宋体" w:eastAsia="Times New Roman" w:cs="宋体"/>
      <w:sz w:val="24"/>
    </w:rPr>
  </w:style>
  <w:style w:type="character" w:customStyle="1" w:styleId="688">
    <w:name w:val="列出段落 Char"/>
    <w:link w:val="460"/>
    <w:qFormat/>
    <w:uiPriority w:val="0"/>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58</Pages>
  <Words>17694</Words>
  <Characters>18493</Characters>
  <Lines>174</Lines>
  <Paragraphs>49</Paragraphs>
  <TotalTime>14</TotalTime>
  <ScaleCrop>false</ScaleCrop>
  <LinksUpToDate>false</LinksUpToDate>
  <CharactersWithSpaces>19350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2024-08-01T09:01:00Z</dcterms:created>
  <dc:creator>Administrator</dc:creator>
  <cp:lastModifiedBy>Administrator</cp:lastModifiedBy>
  <dcterms:modified xsi:type="dcterms:W3CDTF">2025-06-17T00:35:19Z</dcterms:modified>
  <cp:revision>912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A917681C25694C6DAA6779B4072C379F_13</vt:lpwstr>
  </property>
  <property fmtid="{D5CDD505-2E9C-101B-9397-08002B2CF9AE}" pid="4" name="KSOTemplateDocerSaveRecord">
    <vt:lpwstr>eyJoZGlkIjoiMmFiYTFjMDQ3YTlkNzExYmU2M2I1NWE1Yjc2OWMyMmMiLCJ1c2VySWQiOiI1MjE1NDIwMjcifQ==</vt:lpwstr>
  </property>
</Properties>
</file>